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5D" w:rsidRPr="00AB22CE" w:rsidRDefault="00C72F5D" w:rsidP="00AB22CE">
      <w:pPr>
        <w:rPr>
          <w:rFonts w:ascii="Times New Roman" w:hAnsi="Times New Roman" w:cs="Times New Roman"/>
          <w:i/>
          <w:iCs/>
        </w:rPr>
      </w:pPr>
      <w:bookmarkStart w:id="0" w:name="_GoBack"/>
      <w:bookmarkEnd w:id="0"/>
    </w:p>
    <w:p w:rsidR="005D1E5D" w:rsidRPr="00AB22CE" w:rsidRDefault="005D1E5D" w:rsidP="00AB22CE">
      <w:pPr>
        <w:rPr>
          <w:rFonts w:ascii="Times New Roman" w:hAnsi="Times New Roman" w:cs="Times New Roman"/>
          <w:i/>
          <w:iCs/>
        </w:rPr>
      </w:pPr>
    </w:p>
    <w:p w:rsidR="007A4070" w:rsidRPr="00AB22CE" w:rsidRDefault="007A4070" w:rsidP="00AB22CE"/>
    <w:p w:rsidR="007A4070" w:rsidRPr="00AB22CE" w:rsidRDefault="00C72F5D" w:rsidP="00AB22CE">
      <w:pPr>
        <w:pStyle w:val="DecHCase"/>
      </w:pPr>
      <w:r w:rsidRPr="00AB22CE">
        <w:t>PREMIÈRE SECTION</w:t>
      </w:r>
    </w:p>
    <w:p w:rsidR="007A4070" w:rsidRPr="00AB22CE" w:rsidRDefault="007A4070" w:rsidP="00AB22CE">
      <w:pPr>
        <w:pStyle w:val="JuTitle"/>
        <w:spacing w:before="1440"/>
      </w:pPr>
      <w:r w:rsidRPr="00AB22CE">
        <w:t xml:space="preserve">AFFAIRE </w:t>
      </w:r>
      <w:r w:rsidR="00C72F5D" w:rsidRPr="00AB22CE">
        <w:t>DI FEBO c. ITALIE</w:t>
      </w:r>
    </w:p>
    <w:p w:rsidR="007A4070" w:rsidRPr="00AB22CE" w:rsidRDefault="007A4070" w:rsidP="00AB22CE">
      <w:pPr>
        <w:pStyle w:val="ECHRCoverTitle4"/>
      </w:pPr>
      <w:r w:rsidRPr="00AB22CE">
        <w:t>(</w:t>
      </w:r>
      <w:r w:rsidR="00C72F5D" w:rsidRPr="00AB22CE">
        <w:t>Requête n</w:t>
      </w:r>
      <w:r w:rsidR="00C72F5D" w:rsidRPr="00AB22CE">
        <w:rPr>
          <w:vertAlign w:val="superscript"/>
        </w:rPr>
        <w:t>o</w:t>
      </w:r>
      <w:r w:rsidRPr="00AB22CE">
        <w:t xml:space="preserve"> </w:t>
      </w:r>
      <w:r w:rsidR="00C72F5D" w:rsidRPr="00AB22CE">
        <w:t>53729/15</w:t>
      </w:r>
      <w:r w:rsidRPr="00AB22CE">
        <w:t>)</w:t>
      </w:r>
    </w:p>
    <w:p w:rsidR="007A4070" w:rsidRPr="00AB22CE" w:rsidRDefault="007A4070" w:rsidP="00AB22CE">
      <w:pPr>
        <w:pStyle w:val="DecHCase"/>
      </w:pPr>
    </w:p>
    <w:p w:rsidR="007A4070" w:rsidRPr="00AB22CE" w:rsidRDefault="007A4070" w:rsidP="00AB22CE">
      <w:pPr>
        <w:pStyle w:val="DecHCase"/>
      </w:pPr>
    </w:p>
    <w:p w:rsidR="007A4070" w:rsidRPr="00AB22CE" w:rsidRDefault="007A4070" w:rsidP="00AB22CE">
      <w:pPr>
        <w:pStyle w:val="DecHCase"/>
      </w:pPr>
    </w:p>
    <w:p w:rsidR="007A4070" w:rsidRPr="00AB22CE" w:rsidRDefault="007A4070" w:rsidP="00AB22CE">
      <w:pPr>
        <w:pStyle w:val="DecHCase"/>
      </w:pPr>
    </w:p>
    <w:p w:rsidR="007A4070" w:rsidRPr="00AB22CE" w:rsidRDefault="007A4070" w:rsidP="00AB22CE">
      <w:pPr>
        <w:pStyle w:val="DecHCase"/>
      </w:pPr>
      <w:r w:rsidRPr="00AB22CE">
        <w:t>ARRÊT</w:t>
      </w:r>
      <w:r w:rsidRPr="00AB22CE">
        <w:br/>
      </w:r>
    </w:p>
    <w:p w:rsidR="007A4070" w:rsidRPr="00AB22CE" w:rsidRDefault="007A4070" w:rsidP="00AB22CE">
      <w:pPr>
        <w:pStyle w:val="DecHCase"/>
      </w:pPr>
      <w:r w:rsidRPr="00AB22CE">
        <w:t>STRASBOURG</w:t>
      </w:r>
    </w:p>
    <w:p w:rsidR="007A4070" w:rsidRPr="00AB22CE" w:rsidRDefault="00C72F5D" w:rsidP="00AB22CE">
      <w:pPr>
        <w:pStyle w:val="DecHCase"/>
      </w:pPr>
      <w:r w:rsidRPr="00AB22CE">
        <w:t>17 juin 2021</w:t>
      </w:r>
    </w:p>
    <w:p w:rsidR="007A4070" w:rsidRPr="00AB22CE" w:rsidRDefault="007A4070" w:rsidP="00AB22CE">
      <w:pPr>
        <w:pStyle w:val="DecHCase"/>
      </w:pPr>
    </w:p>
    <w:p w:rsidR="005D1E5D" w:rsidRPr="00AB22CE" w:rsidRDefault="005D1E5D" w:rsidP="00AB22CE">
      <w:pPr>
        <w:pStyle w:val="JuPara"/>
      </w:pPr>
    </w:p>
    <w:p w:rsidR="005D1E5D" w:rsidRPr="00AB22CE" w:rsidRDefault="005D1E5D" w:rsidP="00AB22CE">
      <w:pPr>
        <w:pStyle w:val="JuPara"/>
      </w:pPr>
    </w:p>
    <w:p w:rsidR="005D1E5D" w:rsidRPr="00AB22CE" w:rsidRDefault="005D1E5D" w:rsidP="00AB22CE">
      <w:pPr>
        <w:pStyle w:val="JuPara"/>
      </w:pPr>
    </w:p>
    <w:p w:rsidR="00516B59" w:rsidRPr="00AB22CE" w:rsidRDefault="007A4070" w:rsidP="00AB22CE">
      <w:pPr>
        <w:jc w:val="center"/>
        <w:rPr>
          <w:rFonts w:ascii="Times New Roman" w:hAnsi="Times New Roman" w:cs="Times New Roman"/>
          <w:i/>
          <w:sz w:val="22"/>
        </w:rPr>
      </w:pPr>
      <w:r w:rsidRPr="00AB22CE">
        <w:rPr>
          <w:i/>
          <w:sz w:val="22"/>
        </w:rPr>
        <w:t xml:space="preserve">Cet arrêt </w:t>
      </w:r>
      <w:r w:rsidR="00C72F5D" w:rsidRPr="00AB22CE">
        <w:rPr>
          <w:i/>
          <w:sz w:val="22"/>
        </w:rPr>
        <w:t>est définitif</w:t>
      </w:r>
      <w:r w:rsidRPr="00AB22CE">
        <w:rPr>
          <w:i/>
          <w:sz w:val="22"/>
        </w:rPr>
        <w:t>. Il peut subir des retouches de fo</w:t>
      </w:r>
      <w:r w:rsidR="00516B59" w:rsidRPr="00AB22CE">
        <w:rPr>
          <w:rFonts w:ascii="Times New Roman" w:hAnsi="Times New Roman" w:cs="Times New Roman"/>
          <w:i/>
          <w:sz w:val="22"/>
        </w:rPr>
        <w:t>rme.</w:t>
      </w:r>
    </w:p>
    <w:p w:rsidR="00516B59" w:rsidRPr="00AB22CE" w:rsidRDefault="00516B59" w:rsidP="00AB22CE">
      <w:pPr>
        <w:ind w:left="720"/>
        <w:rPr>
          <w:rFonts w:ascii="Times New Roman" w:hAnsi="Times New Roman" w:cs="Times New Roman"/>
          <w:sz w:val="22"/>
        </w:rPr>
      </w:pPr>
    </w:p>
    <w:p w:rsidR="005D1E5D" w:rsidRPr="00AB22CE" w:rsidRDefault="005D1E5D" w:rsidP="00AB22CE">
      <w:pPr>
        <w:ind w:left="720"/>
        <w:rPr>
          <w:rFonts w:ascii="Times New Roman" w:hAnsi="Times New Roman" w:cs="Times New Roman"/>
          <w:sz w:val="22"/>
        </w:rPr>
        <w:sectPr w:rsidR="005D1E5D" w:rsidRPr="00AB22CE"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AB22CE" w:rsidRDefault="004344E6" w:rsidP="00AB22CE">
      <w:pPr>
        <w:pStyle w:val="JuCase"/>
      </w:pPr>
      <w:r w:rsidRPr="00AB22CE">
        <w:lastRenderedPageBreak/>
        <w:t>En l</w:t>
      </w:r>
      <w:r w:rsidR="00AB22CE" w:rsidRPr="00AB22CE">
        <w:t>’</w:t>
      </w:r>
      <w:r w:rsidRPr="00AB22CE">
        <w:t xml:space="preserve">affaire </w:t>
      </w:r>
      <w:r w:rsidR="00C72F5D" w:rsidRPr="00AB22CE">
        <w:t xml:space="preserve">Di </w:t>
      </w:r>
      <w:proofErr w:type="spellStart"/>
      <w:r w:rsidR="00C72F5D" w:rsidRPr="00AB22CE">
        <w:t>Febo</w:t>
      </w:r>
      <w:proofErr w:type="spellEnd"/>
      <w:r w:rsidR="00C72F5D" w:rsidRPr="00AB22CE">
        <w:t xml:space="preserve"> c. Italie</w:t>
      </w:r>
      <w:r w:rsidRPr="00AB22CE">
        <w:t>,</w:t>
      </w:r>
    </w:p>
    <w:p w:rsidR="004344E6" w:rsidRPr="00AB22CE" w:rsidRDefault="004344E6" w:rsidP="00AB22CE">
      <w:pPr>
        <w:pStyle w:val="JuPara"/>
      </w:pPr>
      <w:r w:rsidRPr="00AB22CE">
        <w:t>La Cour européenne des droits de l</w:t>
      </w:r>
      <w:r w:rsidR="00AB22CE" w:rsidRPr="00AB22CE">
        <w:t>’</w:t>
      </w:r>
      <w:r w:rsidRPr="00AB22CE">
        <w:t>homme (</w:t>
      </w:r>
      <w:r w:rsidR="00C72F5D" w:rsidRPr="00AB22CE">
        <w:t>première section</w:t>
      </w:r>
      <w:r w:rsidRPr="00AB22CE">
        <w:t xml:space="preserve">), siégeant en </w:t>
      </w:r>
      <w:r w:rsidR="00C72F5D" w:rsidRPr="00AB22CE">
        <w:rPr>
          <w:color w:val="000000"/>
        </w:rPr>
        <w:t xml:space="preserve">un </w:t>
      </w:r>
      <w:r w:rsidR="00C72F5D" w:rsidRPr="00AB22CE">
        <w:t>comité composé</w:t>
      </w:r>
      <w:r w:rsidRPr="00AB22CE">
        <w:t xml:space="preserve"> de :</w:t>
      </w:r>
    </w:p>
    <w:p w:rsidR="002D0FC1" w:rsidRPr="00AB22CE" w:rsidRDefault="002D0FC1" w:rsidP="00AB22CE">
      <w:pPr>
        <w:pStyle w:val="JuJudges"/>
        <w:jc w:val="both"/>
        <w:rPr>
          <w:i/>
        </w:rPr>
      </w:pPr>
      <w:r w:rsidRPr="00AB22CE">
        <w:tab/>
        <w:t xml:space="preserve">Alena </w:t>
      </w:r>
      <w:proofErr w:type="spellStart"/>
      <w:r w:rsidRPr="00AB22CE">
        <w:t>Poláčková</w:t>
      </w:r>
      <w:proofErr w:type="spellEnd"/>
      <w:r w:rsidRPr="00AB22CE">
        <w:t>,</w:t>
      </w:r>
      <w:r w:rsidRPr="00AB22CE">
        <w:rPr>
          <w:i/>
        </w:rPr>
        <w:t xml:space="preserve"> présidente,</w:t>
      </w:r>
    </w:p>
    <w:p w:rsidR="002D0FC1" w:rsidRPr="00AB22CE" w:rsidRDefault="002D0FC1" w:rsidP="00AB22CE">
      <w:pPr>
        <w:pStyle w:val="JuJudges"/>
        <w:jc w:val="both"/>
        <w:rPr>
          <w:i/>
        </w:rPr>
      </w:pPr>
      <w:r w:rsidRPr="00AB22CE">
        <w:tab/>
        <w:t xml:space="preserve">Péter </w:t>
      </w:r>
      <w:proofErr w:type="spellStart"/>
      <w:r w:rsidRPr="00AB22CE">
        <w:t>Paczolay</w:t>
      </w:r>
      <w:proofErr w:type="spellEnd"/>
      <w:r w:rsidRPr="00AB22CE">
        <w:t>,</w:t>
      </w:r>
    </w:p>
    <w:p w:rsidR="002D0FC1" w:rsidRPr="00AB22CE" w:rsidRDefault="002D0FC1" w:rsidP="00AB22CE">
      <w:pPr>
        <w:pStyle w:val="JuJudges"/>
        <w:jc w:val="both"/>
        <w:rPr>
          <w:i/>
        </w:rPr>
      </w:pPr>
      <w:r w:rsidRPr="00AB22CE">
        <w:tab/>
        <w:t>Raffaele Sabato,</w:t>
      </w:r>
      <w:r w:rsidR="002633F0" w:rsidRPr="00AB22CE">
        <w:t xml:space="preserve"> </w:t>
      </w:r>
      <w:r w:rsidRPr="00AB22CE">
        <w:rPr>
          <w:i/>
        </w:rPr>
        <w:t>juges,</w:t>
      </w:r>
    </w:p>
    <w:p w:rsidR="004344E6" w:rsidRPr="00AB22CE" w:rsidRDefault="004344E6" w:rsidP="00AB22CE">
      <w:pPr>
        <w:pStyle w:val="JuJudges"/>
        <w:jc w:val="both"/>
      </w:pPr>
      <w:proofErr w:type="gramStart"/>
      <w:r w:rsidRPr="00AB22CE">
        <w:t>et</w:t>
      </w:r>
      <w:proofErr w:type="gramEnd"/>
      <w:r w:rsidRPr="00AB22CE">
        <w:t xml:space="preserve"> de </w:t>
      </w:r>
      <w:r w:rsidR="00C72F5D" w:rsidRPr="00AB22CE">
        <w:t xml:space="preserve">Liv </w:t>
      </w:r>
      <w:proofErr w:type="spellStart"/>
      <w:r w:rsidR="00C72F5D" w:rsidRPr="00AB22CE">
        <w:t>Tigerstedt</w:t>
      </w:r>
      <w:proofErr w:type="spellEnd"/>
      <w:r w:rsidRPr="00AB22CE">
        <w:t xml:space="preserve">, </w:t>
      </w:r>
      <w:r w:rsidR="00C72F5D" w:rsidRPr="00AB22CE">
        <w:rPr>
          <w:i/>
        </w:rPr>
        <w:t>greffière adjointe</w:t>
      </w:r>
      <w:r w:rsidR="00C72F5D" w:rsidRPr="00AB22CE">
        <w:rPr>
          <w:iCs/>
        </w:rPr>
        <w:t xml:space="preserve"> </w:t>
      </w:r>
      <w:r w:rsidR="00C72F5D" w:rsidRPr="00AB22CE">
        <w:rPr>
          <w:i/>
          <w:iCs/>
        </w:rPr>
        <w:t>d</w:t>
      </w:r>
      <w:r w:rsidR="00C72F5D" w:rsidRPr="00AB22CE">
        <w:rPr>
          <w:i/>
        </w:rPr>
        <w:t>e section</w:t>
      </w:r>
      <w:r w:rsidRPr="00AB22CE">
        <w:t>,</w:t>
      </w:r>
    </w:p>
    <w:p w:rsidR="00C72F5D" w:rsidRPr="00AB22CE" w:rsidRDefault="00C72F5D" w:rsidP="00AB22CE">
      <w:pPr>
        <w:pStyle w:val="JuPara"/>
      </w:pPr>
      <w:bookmarkStart w:id="1" w:name="ITMARKHavingStart"/>
      <w:bookmarkEnd w:id="1"/>
      <w:r w:rsidRPr="00AB22CE">
        <w:t>Vu la requête (n</w:t>
      </w:r>
      <w:r w:rsidRPr="00AB22CE">
        <w:rPr>
          <w:vertAlign w:val="superscript"/>
        </w:rPr>
        <w:t>o</w:t>
      </w:r>
      <w:r w:rsidRPr="00AB22CE">
        <w:t xml:space="preserve"> 53729/15) dirigée contre la République italienne et dont un ressortissant de cet État, M. Guglielmo Di </w:t>
      </w:r>
      <w:proofErr w:type="spellStart"/>
      <w:r w:rsidRPr="00AB22CE">
        <w:t>Febo</w:t>
      </w:r>
      <w:proofErr w:type="spellEnd"/>
      <w:r w:rsidRPr="00AB22CE">
        <w:t xml:space="preserve"> (« le requérant »), a </w:t>
      </w:r>
      <w:bookmarkStart w:id="2" w:name="_Hlk36124016"/>
      <w:r w:rsidRPr="00AB22CE">
        <w:t>saisi la Cour le 20 octobre 2015 en vertu de l</w:t>
      </w:r>
      <w:r w:rsidR="00AB22CE" w:rsidRPr="00AB22CE">
        <w:t>’</w:t>
      </w:r>
      <w:r w:rsidRPr="00AB22CE">
        <w:t>article 34 de la Convention de sauvegarde des droits de l</w:t>
      </w:r>
      <w:r w:rsidR="00AB22CE" w:rsidRPr="00AB22CE">
        <w:t>’</w:t>
      </w:r>
      <w:r w:rsidRPr="00AB22CE">
        <w:t>homme et des libertés fondamentales (« la Convention »)</w:t>
      </w:r>
      <w:bookmarkEnd w:id="2"/>
      <w:r w:rsidRPr="00AB22CE">
        <w:t>,</w:t>
      </w:r>
    </w:p>
    <w:p w:rsidR="00C72F5D" w:rsidRPr="00AB22CE" w:rsidRDefault="00C72F5D" w:rsidP="00AB22CE">
      <w:pPr>
        <w:pStyle w:val="JuPara"/>
      </w:pPr>
      <w:r w:rsidRPr="00AB22CE">
        <w:t>Vu la décision de porter à la connaissance du gouvernement italien (« le Gouvernement ») le grief concernant l</w:t>
      </w:r>
      <w:r w:rsidR="00AB22CE" w:rsidRPr="00AB22CE">
        <w:t>’</w:t>
      </w:r>
      <w:r w:rsidRPr="00AB22CE">
        <w:t>équité de la procédure,</w:t>
      </w:r>
    </w:p>
    <w:p w:rsidR="00C72F5D" w:rsidRPr="00AB22CE" w:rsidRDefault="00C72F5D" w:rsidP="00AB22CE">
      <w:pPr>
        <w:pStyle w:val="JuPara"/>
      </w:pPr>
      <w:r w:rsidRPr="00AB22CE">
        <w:t>Vu les observations des parties,</w:t>
      </w:r>
    </w:p>
    <w:p w:rsidR="00C72F5D" w:rsidRPr="00AB22CE" w:rsidRDefault="00C72F5D" w:rsidP="00AB22CE">
      <w:pPr>
        <w:pStyle w:val="JuPara"/>
      </w:pPr>
      <w:bookmarkStart w:id="3" w:name="_Hlk71187682"/>
      <w:r w:rsidRPr="00AB22CE">
        <w:t>Vu la décision par laquelle la Cour a rejeté l</w:t>
      </w:r>
      <w:r w:rsidR="00AB22CE" w:rsidRPr="00AB22CE">
        <w:t>’</w:t>
      </w:r>
      <w:r w:rsidRPr="00AB22CE">
        <w:t>opposition du Gouvernement à l</w:t>
      </w:r>
      <w:r w:rsidR="00AB22CE" w:rsidRPr="00AB22CE">
        <w:t>’</w:t>
      </w:r>
      <w:r w:rsidRPr="00AB22CE">
        <w:t>examen de la requête par un comité</w:t>
      </w:r>
      <w:bookmarkEnd w:id="3"/>
      <w:r w:rsidRPr="00AB22CE">
        <w:t>,</w:t>
      </w:r>
    </w:p>
    <w:p w:rsidR="004344E6" w:rsidRPr="00AB22CE" w:rsidRDefault="004344E6" w:rsidP="00AB22CE">
      <w:pPr>
        <w:pStyle w:val="JuPara"/>
      </w:pPr>
      <w:r w:rsidRPr="00AB22CE">
        <w:t xml:space="preserve">Après en avoir délibéré en chambre du conseil le </w:t>
      </w:r>
      <w:r w:rsidR="00C72F5D" w:rsidRPr="00AB22CE">
        <w:t>25 mai 2021</w:t>
      </w:r>
      <w:r w:rsidRPr="00AB22CE">
        <w:t>,</w:t>
      </w:r>
    </w:p>
    <w:p w:rsidR="00876F03" w:rsidRPr="00AB22CE" w:rsidRDefault="004344E6" w:rsidP="00AB22CE">
      <w:pPr>
        <w:pStyle w:val="JuPara"/>
      </w:pPr>
      <w:r w:rsidRPr="00AB22CE">
        <w:t>Rend l</w:t>
      </w:r>
      <w:r w:rsidR="00AB22CE" w:rsidRPr="00AB22CE">
        <w:t>’</w:t>
      </w:r>
      <w:r w:rsidRPr="00AB22CE">
        <w:t>arrêt que voici</w:t>
      </w:r>
      <w:r w:rsidR="00876F03" w:rsidRPr="00AB22CE">
        <w:t>, adopté à cette date :</w:t>
      </w:r>
    </w:p>
    <w:p w:rsidR="00C72F5D" w:rsidRPr="00AB22CE" w:rsidRDefault="00C72F5D" w:rsidP="00AB22CE">
      <w:pPr>
        <w:pStyle w:val="JuHHead"/>
      </w:pPr>
      <w:r w:rsidRPr="00AB22CE">
        <w:rPr>
          <w:caps w:val="0"/>
        </w:rPr>
        <w:t>INTRODUCTION</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w:t>
      </w:r>
      <w:r w:rsidRPr="00AB22CE">
        <w:fldChar w:fldCharType="end"/>
      </w:r>
      <w:r w:rsidRPr="00AB22CE">
        <w:t>.  La requête concerne la condamnation pénale en appel du requérant, qui avait été acquitté en première instance. La juridiction d</w:t>
      </w:r>
      <w:r w:rsidR="00AB22CE" w:rsidRPr="00AB22CE">
        <w:t>’</w:t>
      </w:r>
      <w:r w:rsidRPr="00AB22CE">
        <w:t>appel l</w:t>
      </w:r>
      <w:r w:rsidR="00AB22CE" w:rsidRPr="00AB22CE">
        <w:t>’</w:t>
      </w:r>
      <w:r w:rsidRPr="00AB22CE">
        <w:t>a reconnu coupable sans entendre à nouveau le principal témoin à charge. Le requérant invoque l</w:t>
      </w:r>
      <w:r w:rsidR="00AB22CE" w:rsidRPr="00AB22CE">
        <w:t>’</w:t>
      </w:r>
      <w:r w:rsidRPr="00AB22CE">
        <w:t>article 6 § 1 de la Convention.</w:t>
      </w:r>
    </w:p>
    <w:p w:rsidR="00C72F5D" w:rsidRPr="00AB22CE" w:rsidRDefault="00C72F5D" w:rsidP="00AB22CE">
      <w:pPr>
        <w:pStyle w:val="JuHHead"/>
      </w:pPr>
      <w:bookmarkStart w:id="4" w:name="_Hlk36126677"/>
      <w:r w:rsidRPr="00AB22CE">
        <w:t>EN FAIT</w:t>
      </w:r>
    </w:p>
    <w:bookmarkEnd w:id="4"/>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w:t>
      </w:r>
      <w:r w:rsidRPr="00AB22CE">
        <w:fldChar w:fldCharType="end"/>
      </w:r>
      <w:r w:rsidRPr="00AB22CE">
        <w:t xml:space="preserve">.  Le requérant est né en 1947 et réside à </w:t>
      </w:r>
      <w:proofErr w:type="spellStart"/>
      <w:r w:rsidRPr="00AB22CE">
        <w:t>Montesilvano</w:t>
      </w:r>
      <w:proofErr w:type="spellEnd"/>
      <w:r w:rsidRPr="00AB22CE">
        <w:t>. Il a été représenté par M</w:t>
      </w:r>
      <w:r w:rsidRPr="00AB22CE">
        <w:rPr>
          <w:vertAlign w:val="superscript"/>
        </w:rPr>
        <w:t>e</w:t>
      </w:r>
      <w:r w:rsidRPr="00AB22CE">
        <w:t xml:space="preserve"> G. </w:t>
      </w:r>
      <w:proofErr w:type="spellStart"/>
      <w:r w:rsidRPr="00AB22CE">
        <w:t>Stellato</w:t>
      </w:r>
      <w:proofErr w:type="spellEnd"/>
      <w:r w:rsidRPr="00AB22CE">
        <w:t>.</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3</w:t>
      </w:r>
      <w:r w:rsidRPr="00AB22CE">
        <w:fldChar w:fldCharType="end"/>
      </w:r>
      <w:r w:rsidRPr="00AB22CE">
        <w:t>.  </w:t>
      </w:r>
      <w:bookmarkStart w:id="5" w:name="_Hlk36127123"/>
      <w:r w:rsidRPr="00AB22CE">
        <w:t>Le Gouvernement a été représenté par son agent, M. L. D</w:t>
      </w:r>
      <w:r w:rsidR="00AB22CE" w:rsidRPr="00AB22CE">
        <w:t>’</w:t>
      </w:r>
      <w:r w:rsidRPr="00AB22CE">
        <w:t>Ascia.</w:t>
      </w:r>
      <w:bookmarkEnd w:id="5"/>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4</w:t>
      </w:r>
      <w:r w:rsidRPr="00AB22CE">
        <w:fldChar w:fldCharType="end"/>
      </w:r>
      <w:r w:rsidRPr="00AB22CE">
        <w:t>.  Le requérant était enseignant dans un collège. Il fut accusé d</w:t>
      </w:r>
      <w:r w:rsidR="00AB22CE" w:rsidRPr="00AB22CE">
        <w:t>’</w:t>
      </w:r>
      <w:r w:rsidRPr="00AB22CE">
        <w:t>avoir agressé sexuellement pendant une sortie scolaire C.S., une élève alors âgée de treize ans, et d</w:t>
      </w:r>
      <w:r w:rsidR="00AB22CE" w:rsidRPr="00AB22CE">
        <w:t>’</w:t>
      </w:r>
      <w:r w:rsidRPr="00AB22CE">
        <w:t xml:space="preserve">avoir ensuite entretenu avec elle pendant plusieurs mois une relation sentimentale au cours de laquelle il y eut rapport sexuel. Le 24 octobre 2008, il fut renvoyé en jugement devant le tribunal de </w:t>
      </w:r>
      <w:proofErr w:type="spellStart"/>
      <w:r w:rsidRPr="00AB22CE">
        <w:t>Pistoie</w:t>
      </w:r>
      <w:proofErr w:type="spellEnd"/>
      <w:r w:rsidRPr="00AB22CE">
        <w:t>.</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5</w:t>
      </w:r>
      <w:r w:rsidRPr="00AB22CE">
        <w:fldChar w:fldCharType="end"/>
      </w:r>
      <w:r w:rsidRPr="00AB22CE">
        <w:t>.  Au cours des débats, le tribunal interrogea de nombreux témoins, parmi lesquels C.S. Cette dernière étant âgée de dix-sept ans, elle fut protégée des regards pendant son audition par l</w:t>
      </w:r>
      <w:r w:rsidR="00AB22CE" w:rsidRPr="00AB22CE">
        <w:t>’</w:t>
      </w:r>
      <w:r w:rsidRPr="00AB22CE">
        <w:t>installation d</w:t>
      </w:r>
      <w:r w:rsidR="00AB22CE" w:rsidRPr="00AB22CE">
        <w:t>’</w:t>
      </w:r>
      <w:r w:rsidRPr="00AB22CE">
        <w:t>un paravent.</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6</w:t>
      </w:r>
      <w:r w:rsidRPr="00AB22CE">
        <w:fldChar w:fldCharType="end"/>
      </w:r>
      <w:r w:rsidRPr="00AB22CE">
        <w:t xml:space="preserve">.  Par un jugement du 26 janvier 2010, le tribunal de </w:t>
      </w:r>
      <w:proofErr w:type="spellStart"/>
      <w:r w:rsidRPr="00AB22CE">
        <w:t>Pistoie</w:t>
      </w:r>
      <w:proofErr w:type="spellEnd"/>
      <w:r w:rsidRPr="00AB22CE">
        <w:t xml:space="preserve"> acquitta le requérant. Il considéra que si l</w:t>
      </w:r>
      <w:r w:rsidR="00AB22CE" w:rsidRPr="00AB22CE">
        <w:t>’</w:t>
      </w:r>
      <w:r w:rsidRPr="00AB22CE">
        <w:t>existence pendant plus de deux ans d</w:t>
      </w:r>
      <w:r w:rsidR="00AB22CE" w:rsidRPr="00AB22CE">
        <w:t>’</w:t>
      </w:r>
      <w:r w:rsidRPr="00AB22CE">
        <w:t xml:space="preserve">une relation amoureuse à caractère érotique entre lui et C.S. avait été prouvée par les différents témoignages et par les écoutes téléphoniques effectuées au </w:t>
      </w:r>
      <w:r w:rsidRPr="00AB22CE">
        <w:lastRenderedPageBreak/>
        <w:t>cours des investigations, les deux faits d</w:t>
      </w:r>
      <w:r w:rsidR="00AB22CE" w:rsidRPr="00AB22CE">
        <w:t>’</w:t>
      </w:r>
      <w:r w:rsidRPr="00AB22CE">
        <w:t>abus sexuel qui lui étaient reprochés dans les chefs d</w:t>
      </w:r>
      <w:r w:rsidR="00AB22CE" w:rsidRPr="00AB22CE">
        <w:t>’</w:t>
      </w:r>
      <w:r w:rsidRPr="00AB22CE">
        <w:t>inculpation n</w:t>
      </w:r>
      <w:r w:rsidR="00AB22CE" w:rsidRPr="00AB22CE">
        <w:t>’</w:t>
      </w:r>
      <w:r w:rsidRPr="00AB22CE">
        <w:t>avaient, eux, pas été prouvés. Il estima que la version du requérant n</w:t>
      </w:r>
      <w:r w:rsidR="00AB22CE" w:rsidRPr="00AB22CE">
        <w:t>’</w:t>
      </w:r>
      <w:r w:rsidRPr="00AB22CE">
        <w:t>était pas crédible, mais il nota que C.S. était le seul témoin direct des abus sexuels allégués et que les déclarations qu</w:t>
      </w:r>
      <w:r w:rsidR="00AB22CE" w:rsidRPr="00AB22CE">
        <w:t>’</w:t>
      </w:r>
      <w:r w:rsidRPr="00AB22CE">
        <w:t>elle avait faites avaient été en partie démenties par les témoignages de deux de ses amies, N.M. et S.L., à qui elle s</w:t>
      </w:r>
      <w:r w:rsidR="00AB22CE" w:rsidRPr="00AB22CE">
        <w:t>’</w:t>
      </w:r>
      <w:r w:rsidRPr="00AB22CE">
        <w:t>était confiée à l</w:t>
      </w:r>
      <w:r w:rsidR="00AB22CE" w:rsidRPr="00AB22CE">
        <w:t>’</w:t>
      </w:r>
      <w:r w:rsidRPr="00AB22CE">
        <w:t>époque des faits. Il considéra en outre que le récit de C.S. présentait plusieurs incohérences, qu</w:t>
      </w:r>
      <w:r w:rsidR="00AB22CE" w:rsidRPr="00AB22CE">
        <w:t>’</w:t>
      </w:r>
      <w:r w:rsidRPr="00AB22CE">
        <w:t>il attribua aux sentiments qu</w:t>
      </w:r>
      <w:r w:rsidR="00AB22CE" w:rsidRPr="00AB22CE">
        <w:t>’</w:t>
      </w:r>
      <w:r w:rsidRPr="00AB22CE">
        <w:t>elle éprouvait pour le requérant et à la volonté qu</w:t>
      </w:r>
      <w:r w:rsidR="00AB22CE" w:rsidRPr="00AB22CE">
        <w:t>’</w:t>
      </w:r>
      <w:r w:rsidRPr="00AB22CE">
        <w:t>elle avait de ne pas lui nuire. Il jugea que ces incohérences entamaient la crédibilité de C.S. et que dans ces conditions, les déclarations de celle-ci n</w:t>
      </w:r>
      <w:r w:rsidR="00AB22CE" w:rsidRPr="00AB22CE">
        <w:t>’</w:t>
      </w:r>
      <w:r w:rsidRPr="00AB22CE">
        <w:t>étaient pas suffisantes pour fonder un verdict de culpabilité.</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7</w:t>
      </w:r>
      <w:r w:rsidRPr="00AB22CE">
        <w:fldChar w:fldCharType="end"/>
      </w:r>
      <w:r w:rsidRPr="00AB22CE">
        <w:t>.  Le parquet interjeta appel. Par un arrêt du 21 février 2013, la cour d</w:t>
      </w:r>
      <w:r w:rsidR="00AB22CE" w:rsidRPr="00AB22CE">
        <w:t>’</w:t>
      </w:r>
      <w:r w:rsidRPr="00AB22CE">
        <w:t xml:space="preserve">appel de Florence renversa le jugement et condamna le requérant. </w:t>
      </w:r>
      <w:bookmarkStart w:id="6" w:name="_Hlk64388525"/>
      <w:bookmarkStart w:id="7" w:name="_Hlk64388578"/>
      <w:r w:rsidRPr="00AB22CE">
        <w:t>Elle estima que dire comme l</w:t>
      </w:r>
      <w:r w:rsidR="00AB22CE" w:rsidRPr="00AB22CE">
        <w:t>’</w:t>
      </w:r>
      <w:r w:rsidRPr="00AB22CE">
        <w:t>avait fait le tribunal que les déclarations de C.S. n</w:t>
      </w:r>
      <w:r w:rsidR="00AB22CE" w:rsidRPr="00AB22CE">
        <w:t>’</w:t>
      </w:r>
      <w:r w:rsidRPr="00AB22CE">
        <w:t>étaient pas fiables car elles avaient été dictées par la crainte qu</w:t>
      </w:r>
      <w:r w:rsidR="00AB22CE" w:rsidRPr="00AB22CE">
        <w:t>’</w:t>
      </w:r>
      <w:r w:rsidRPr="00AB22CE">
        <w:t xml:space="preserve">avait la jeune fille de nuire au requérant était une contradiction dans les termes. </w:t>
      </w:r>
      <w:bookmarkEnd w:id="6"/>
      <w:r w:rsidRPr="00AB22CE">
        <w:t xml:space="preserve">Elle jugea également que le tribunal </w:t>
      </w:r>
      <w:bookmarkEnd w:id="7"/>
      <w:r w:rsidRPr="00AB22CE">
        <w:t>n</w:t>
      </w:r>
      <w:r w:rsidR="00AB22CE" w:rsidRPr="00AB22CE">
        <w:t>’</w:t>
      </w:r>
      <w:r w:rsidRPr="00AB22CE">
        <w:t>avait pas adéquatement pris en compte la personnalité de la jeune fille, décrite par les témoins comme très timide et réservée, traits qui auraient expliqué le fait qu</w:t>
      </w:r>
      <w:r w:rsidR="00AB22CE" w:rsidRPr="00AB22CE">
        <w:t>’</w:t>
      </w:r>
      <w:r w:rsidRPr="00AB22CE">
        <w:t>elle avait longtemps caché à son entourage sa relation avec le requérant et les rapports sexuels en cause. Elle considéra par ailleurs que c</w:t>
      </w:r>
      <w:r w:rsidR="00AB22CE" w:rsidRPr="00AB22CE">
        <w:t>’</w:t>
      </w:r>
      <w:r w:rsidRPr="00AB22CE">
        <w:t>était à tort que le tribunal avait interprété les déclarations de N.M. et de S.L. comme des éléments entamant la crédibilité de C.S. Enfin, elle conclut que l</w:t>
      </w:r>
      <w:r w:rsidR="00AB22CE" w:rsidRPr="00AB22CE">
        <w:t>’</w:t>
      </w:r>
      <w:r w:rsidRPr="00AB22CE">
        <w:t>examen des relevés téléphoniques des intéressés et la teneur des conversations et des messages téléphoniques interceptés corroboraient les déclarations de la jeune victime et démentaient la version du requérant.</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8</w:t>
      </w:r>
      <w:r w:rsidRPr="00AB22CE">
        <w:fldChar w:fldCharType="end"/>
      </w:r>
      <w:r w:rsidRPr="00AB22CE">
        <w:t>.  La cour d</w:t>
      </w:r>
      <w:r w:rsidR="00AB22CE" w:rsidRPr="00AB22CE">
        <w:t>’</w:t>
      </w:r>
      <w:r w:rsidRPr="00AB22CE">
        <w:t>appel précisa que ses conclusions ne découlaient pas d</w:t>
      </w:r>
      <w:r w:rsidR="00AB22CE" w:rsidRPr="00AB22CE">
        <w:t>’</w:t>
      </w:r>
      <w:r w:rsidRPr="00AB22CE">
        <w:t>une évaluation différente de la crédibilité de C.S., mais d</w:t>
      </w:r>
      <w:r w:rsidR="00AB22CE" w:rsidRPr="00AB22CE">
        <w:t>’</w:t>
      </w:r>
      <w:r w:rsidRPr="00AB22CE">
        <w:t>une lecture différente des éléments du dossier, et que les preuves écrites, notamment les transcriptions des messages et des conversations téléphoniques interceptés, avaient joué un rôle déterminant dans son verdict. Elle nota que dès lors, il ne se posait en l</w:t>
      </w:r>
      <w:r w:rsidR="00AB22CE" w:rsidRPr="00AB22CE">
        <w:t>’</w:t>
      </w:r>
      <w:r w:rsidRPr="00AB22CE">
        <w:t>espèce aucune question de compatibilité avec l</w:t>
      </w:r>
      <w:r w:rsidR="00AB22CE" w:rsidRPr="00AB22CE">
        <w:t>’</w:t>
      </w:r>
      <w:r w:rsidRPr="00AB22CE">
        <w:t>article 6 de la Convention tel qu</w:t>
      </w:r>
      <w:r w:rsidR="00AB22CE" w:rsidRPr="00AB22CE">
        <w:t>’</w:t>
      </w:r>
      <w:r w:rsidRPr="00AB22CE">
        <w:t>interprété par la Cour européenne des droits de l</w:t>
      </w:r>
      <w:r w:rsidR="00AB22CE" w:rsidRPr="00AB22CE">
        <w:t>’</w:t>
      </w:r>
      <w:r w:rsidRPr="00AB22CE">
        <w:t xml:space="preserve">homme dans son arrêt </w:t>
      </w:r>
      <w:r w:rsidRPr="00AB22CE">
        <w:rPr>
          <w:i/>
          <w:iCs/>
        </w:rPr>
        <w:t>Dan c. Moldova</w:t>
      </w:r>
      <w:r w:rsidRPr="00AB22CE">
        <w:t xml:space="preserve"> (n</w:t>
      </w:r>
      <w:r w:rsidRPr="00AB22CE">
        <w:rPr>
          <w:vertAlign w:val="superscript"/>
        </w:rPr>
        <w:t>o</w:t>
      </w:r>
      <w:r w:rsidRPr="00AB22CE">
        <w:t> 8999/07, 5 juillet 2011).</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9</w:t>
      </w:r>
      <w:r w:rsidRPr="00AB22CE">
        <w:fldChar w:fldCharType="end"/>
      </w:r>
      <w:r w:rsidRPr="00AB22CE">
        <w:t xml:space="preserve">.  Le requérant se </w:t>
      </w:r>
      <w:proofErr w:type="spellStart"/>
      <w:r w:rsidRPr="00AB22CE">
        <w:t>pourvut</w:t>
      </w:r>
      <w:proofErr w:type="spellEnd"/>
      <w:r w:rsidRPr="00AB22CE">
        <w:t xml:space="preserve"> en cassation. Il alléguait notamment que la cour d</w:t>
      </w:r>
      <w:r w:rsidR="00AB22CE" w:rsidRPr="00AB22CE">
        <w:t>’</w:t>
      </w:r>
      <w:r w:rsidRPr="00AB22CE">
        <w:t>appel l</w:t>
      </w:r>
      <w:r w:rsidR="00AB22CE" w:rsidRPr="00AB22CE">
        <w:t>’</w:t>
      </w:r>
      <w:r w:rsidRPr="00AB22CE">
        <w:t>avait déclaré coupable en se basant exclusivement sur les déclarations de C.S. alors qu</w:t>
      </w:r>
      <w:r w:rsidR="00AB22CE" w:rsidRPr="00AB22CE">
        <w:t>’</w:t>
      </w:r>
      <w:r w:rsidRPr="00AB22CE">
        <w:t>elle ne l</w:t>
      </w:r>
      <w:r w:rsidR="00AB22CE" w:rsidRPr="00AB22CE">
        <w:t>’</w:t>
      </w:r>
      <w:r w:rsidRPr="00AB22CE">
        <w:t>avait pas entendue directement.</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10</w:t>
      </w:r>
      <w:r w:rsidRPr="00AB22CE">
        <w:fldChar w:fldCharType="end"/>
      </w:r>
      <w:r w:rsidRPr="00AB22CE">
        <w:t>.  Par un arrêt du 21</w:t>
      </w:r>
      <w:r w:rsidR="008D383F" w:rsidRPr="00AB22CE">
        <w:t xml:space="preserve"> </w:t>
      </w:r>
      <w:r w:rsidRPr="00AB22CE">
        <w:t>mai 2015, la Cour de cassation rejeta le pourvoi. Elle nota que la cour d</w:t>
      </w:r>
      <w:r w:rsidR="00AB22CE" w:rsidRPr="00AB22CE">
        <w:t>’</w:t>
      </w:r>
      <w:r w:rsidRPr="00AB22CE">
        <w:t>appel s</w:t>
      </w:r>
      <w:r w:rsidR="00AB22CE" w:rsidRPr="00AB22CE">
        <w:t>’</w:t>
      </w:r>
      <w:r w:rsidRPr="00AB22CE">
        <w:t>était attachée à donner une lecture correcte et logique des déclarations de C.S., qu</w:t>
      </w:r>
      <w:r w:rsidR="00AB22CE" w:rsidRPr="00AB22CE">
        <w:t>’</w:t>
      </w:r>
      <w:r w:rsidRPr="00AB22CE">
        <w:t>elle avait dûment tenu compte des autres éléments de preuve, et qu</w:t>
      </w:r>
      <w:r w:rsidR="00AB22CE" w:rsidRPr="00AB22CE">
        <w:t>’</w:t>
      </w:r>
      <w:r w:rsidRPr="00AB22CE">
        <w:t>elle avait considéré que les incertitudes du tribunal par rapport aux témoignages de N.M. et S.L. n</w:t>
      </w:r>
      <w:r w:rsidR="00AB22CE" w:rsidRPr="00AB22CE">
        <w:t>’</w:t>
      </w:r>
      <w:r w:rsidRPr="00AB22CE">
        <w:t>étaient pas pertinentes aux fins de l</w:t>
      </w:r>
      <w:r w:rsidR="00AB22CE" w:rsidRPr="00AB22CE">
        <w:t>’</w:t>
      </w:r>
      <w:r w:rsidRPr="00AB22CE">
        <w:t>évaluation de la crédibilité du récit de la victime.</w:t>
      </w:r>
    </w:p>
    <w:p w:rsidR="00C72F5D" w:rsidRPr="00AB22CE" w:rsidRDefault="00C72F5D" w:rsidP="00AB22CE">
      <w:pPr>
        <w:pStyle w:val="JuHHead"/>
        <w:numPr>
          <w:ilvl w:val="0"/>
          <w:numId w:val="1"/>
        </w:numPr>
      </w:pPr>
      <w:bookmarkStart w:id="8" w:name="_Hlk36127227"/>
      <w:r w:rsidRPr="00AB22CE">
        <w:rPr>
          <w:caps w:val="0"/>
        </w:rPr>
        <w:lastRenderedPageBreak/>
        <w:t>LE CADRE JURIDIQUE ET LA PRATIQUE INTERNES PERTINENTS</w:t>
      </w:r>
    </w:p>
    <w:bookmarkEnd w:id="8"/>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11</w:t>
      </w:r>
      <w:r w:rsidRPr="00AB22CE">
        <w:fldChar w:fldCharType="end"/>
      </w:r>
      <w:r w:rsidRPr="00AB22CE">
        <w:t>.  </w:t>
      </w:r>
      <w:bookmarkStart w:id="9" w:name="_Hlk36127236"/>
      <w:r w:rsidRPr="00AB22CE">
        <w:t>Le cadre juridique et la pratique internes pertinents en la matière sont décrits dans l</w:t>
      </w:r>
      <w:r w:rsidR="00AB22CE" w:rsidRPr="00AB22CE">
        <w:t>’</w:t>
      </w:r>
      <w:r w:rsidRPr="00AB22CE">
        <w:t xml:space="preserve">arrêt </w:t>
      </w:r>
      <w:proofErr w:type="spellStart"/>
      <w:r w:rsidRPr="00AB22CE">
        <w:rPr>
          <w:i/>
        </w:rPr>
        <w:t>Lorefice</w:t>
      </w:r>
      <w:proofErr w:type="spellEnd"/>
      <w:r w:rsidRPr="00AB22CE">
        <w:rPr>
          <w:i/>
        </w:rPr>
        <w:t xml:space="preserve"> c. Italie</w:t>
      </w:r>
      <w:r w:rsidRPr="00AB22CE">
        <w:t>, n</w:t>
      </w:r>
      <w:r w:rsidRPr="00AB22CE">
        <w:rPr>
          <w:vertAlign w:val="superscript"/>
        </w:rPr>
        <w:t>o</w:t>
      </w:r>
      <w:r w:rsidRPr="00AB22CE">
        <w:t> 63446/13, §§ 26-28, 29 juin 2017.</w:t>
      </w:r>
      <w:bookmarkEnd w:id="9"/>
    </w:p>
    <w:p w:rsidR="00C72F5D" w:rsidRPr="00AB22CE" w:rsidRDefault="00C72F5D" w:rsidP="00AB22CE">
      <w:pPr>
        <w:pStyle w:val="JuHHead"/>
      </w:pPr>
      <w:bookmarkStart w:id="10" w:name="_Hlk36127250"/>
      <w:r w:rsidRPr="00AB22CE">
        <w:rPr>
          <w:caps w:val="0"/>
        </w:rPr>
        <w:t>EN DROIT</w:t>
      </w:r>
      <w:bookmarkEnd w:id="10"/>
    </w:p>
    <w:p w:rsidR="00C72F5D" w:rsidRPr="00AB22CE" w:rsidRDefault="00C72F5D" w:rsidP="00AB22CE">
      <w:pPr>
        <w:pStyle w:val="JuHIRoman"/>
      </w:pPr>
      <w:bookmarkStart w:id="11" w:name="_Hlk36127423"/>
      <w:bookmarkStart w:id="12" w:name="_Hlk34839031"/>
      <w:r w:rsidRPr="00AB22CE">
        <w:t>SUR LA VIOLATION ALLÉGUÉE DE L</w:t>
      </w:r>
      <w:r w:rsidR="00AB22CE" w:rsidRPr="00AB22CE">
        <w:t>’</w:t>
      </w:r>
      <w:r w:rsidRPr="00AB22CE">
        <w:t>ARTICLE 6 § 1 DE LA CONVENTION</w:t>
      </w:r>
      <w:bookmarkEnd w:id="11"/>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12</w:t>
      </w:r>
      <w:r w:rsidRPr="00AB22CE">
        <w:fldChar w:fldCharType="end"/>
      </w:r>
      <w:r w:rsidRPr="00AB22CE">
        <w:t xml:space="preserve">.  Le requérant se plaint </w:t>
      </w:r>
      <w:bookmarkStart w:id="13" w:name="_Hlk36127488"/>
      <w:r w:rsidRPr="00AB22CE">
        <w:t>que la cour d</w:t>
      </w:r>
      <w:r w:rsidR="00AB22CE" w:rsidRPr="00AB22CE">
        <w:t>’</w:t>
      </w:r>
      <w:r w:rsidRPr="00AB22CE">
        <w:t>appel de Florence l</w:t>
      </w:r>
      <w:r w:rsidR="00AB22CE" w:rsidRPr="00AB22CE">
        <w:t>’</w:t>
      </w:r>
      <w:r w:rsidRPr="00AB22CE">
        <w:t>ait déclaré coupable sans avoir entendu directement le témoin à charge, que le juge de première instance avait jugé non crédible.</w:t>
      </w:r>
      <w:bookmarkEnd w:id="13"/>
      <w:r w:rsidRPr="00AB22CE">
        <w:t xml:space="preserve"> Il invoque </w:t>
      </w:r>
      <w:bookmarkStart w:id="14" w:name="_Hlk36127508"/>
      <w:r w:rsidRPr="00AB22CE">
        <w:t>l</w:t>
      </w:r>
      <w:r w:rsidR="00AB22CE" w:rsidRPr="00AB22CE">
        <w:t>’</w:t>
      </w:r>
      <w:r w:rsidRPr="00AB22CE">
        <w:t>article 6 § 1 de la Convention, qui est ainsi libellé dans ses parties pertinentes :</w:t>
      </w:r>
    </w:p>
    <w:bookmarkEnd w:id="14"/>
    <w:p w:rsidR="00C72F5D" w:rsidRPr="00AB22CE" w:rsidRDefault="00C72F5D" w:rsidP="00AB22CE">
      <w:pPr>
        <w:pStyle w:val="JuQuot"/>
      </w:pPr>
      <w:r w:rsidRPr="00AB22CE">
        <w:t>« Toute personne a droit à ce que sa cause soit entendue équitablement (...) par un tribunal (...) qui décidera (...) du bien-fondé de toute accusation en matière pénale dirigée contre elle. »</w:t>
      </w:r>
    </w:p>
    <w:p w:rsidR="00C72F5D" w:rsidRPr="00AB22CE" w:rsidRDefault="00C72F5D" w:rsidP="00AB22CE">
      <w:pPr>
        <w:pStyle w:val="JuHA"/>
      </w:pPr>
      <w:bookmarkStart w:id="15" w:name="_Hlk36127545"/>
      <w:r w:rsidRPr="00AB22CE">
        <w:t>Sur la recevabilité</w:t>
      </w:r>
      <w:bookmarkEnd w:id="15"/>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13</w:t>
      </w:r>
      <w:r w:rsidRPr="00AB22CE">
        <w:fldChar w:fldCharType="end"/>
      </w:r>
      <w:r w:rsidRPr="00AB22CE">
        <w:t>.  </w:t>
      </w:r>
      <w:bookmarkStart w:id="16" w:name="_Hlk36127606"/>
      <w:r w:rsidRPr="00AB22CE">
        <w:t>Constatant que la requête n</w:t>
      </w:r>
      <w:r w:rsidR="00AB22CE" w:rsidRPr="00AB22CE">
        <w:t>’</w:t>
      </w:r>
      <w:r w:rsidRPr="00AB22CE">
        <w:t>est pas manifestement mal fondée ni irrecevable pour un autre motif visé à l</w:t>
      </w:r>
      <w:r w:rsidR="00AB22CE" w:rsidRPr="00AB22CE">
        <w:t>’</w:t>
      </w:r>
      <w:r w:rsidRPr="00AB22CE">
        <w:t>article 35 de la Convention, la Cour la déclare recevable.</w:t>
      </w:r>
      <w:bookmarkEnd w:id="16"/>
    </w:p>
    <w:p w:rsidR="00C72F5D" w:rsidRPr="00AB22CE" w:rsidRDefault="00C72F5D" w:rsidP="00AB22CE">
      <w:pPr>
        <w:pStyle w:val="JuHA"/>
      </w:pPr>
      <w:bookmarkStart w:id="17" w:name="_Hlk36127650"/>
      <w:r w:rsidRPr="00AB22CE">
        <w:t>Sur le fond</w:t>
      </w:r>
      <w:bookmarkEnd w:id="17"/>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14</w:t>
      </w:r>
      <w:r w:rsidRPr="00AB22CE">
        <w:fldChar w:fldCharType="end"/>
      </w:r>
      <w:r w:rsidRPr="00AB22CE">
        <w:t>.  Le requérant reproche à la cour d</w:t>
      </w:r>
      <w:r w:rsidR="00AB22CE" w:rsidRPr="00AB22CE">
        <w:t>’</w:t>
      </w:r>
      <w:r w:rsidRPr="00AB22CE">
        <w:t>appel d</w:t>
      </w:r>
      <w:r w:rsidR="00AB22CE" w:rsidRPr="00AB22CE">
        <w:t>’</w:t>
      </w:r>
      <w:r w:rsidRPr="00AB22CE">
        <w:t>être revenue sur les faits établis en première instance</w:t>
      </w:r>
      <w:r w:rsidRPr="00AB22CE" w:rsidDel="00E014D2">
        <w:t xml:space="preserve"> </w:t>
      </w:r>
      <w:r w:rsidRPr="00AB22CE">
        <w:t>et d</w:t>
      </w:r>
      <w:r w:rsidR="00AB22CE" w:rsidRPr="00AB22CE">
        <w:t>’</w:t>
      </w:r>
      <w:r w:rsidRPr="00AB22CE">
        <w:t>avoir fondé son verdict de culpabilité essentiellement sur la déposition de C.S., que le tribunal avait jugée non crédible, sans entendre directement la jeune fille.</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15</w:t>
      </w:r>
      <w:r w:rsidRPr="00AB22CE">
        <w:fldChar w:fldCharType="end"/>
      </w:r>
      <w:r w:rsidRPr="00AB22CE">
        <w:t>.  Le Gouvernement soutient que le requérant demande à la Cour de procéder à une nouvelle appréciation de l</w:t>
      </w:r>
      <w:r w:rsidR="00AB22CE" w:rsidRPr="00AB22CE">
        <w:t>’</w:t>
      </w:r>
      <w:r w:rsidRPr="00AB22CE">
        <w:t>affaire, c</w:t>
      </w:r>
      <w:r w:rsidR="00AB22CE" w:rsidRPr="00AB22CE">
        <w:t>’</w:t>
      </w:r>
      <w:r w:rsidRPr="00AB22CE">
        <w:t>est-à-dire de s</w:t>
      </w:r>
      <w:r w:rsidR="00AB22CE" w:rsidRPr="00AB22CE">
        <w:t>’</w:t>
      </w:r>
      <w:r w:rsidRPr="00AB22CE">
        <w:t>ériger en juge de « quatrième instance ». Il soutient qu</w:t>
      </w:r>
      <w:r w:rsidR="00AB22CE" w:rsidRPr="00AB22CE">
        <w:t>’</w:t>
      </w:r>
      <w:r w:rsidRPr="00AB22CE">
        <w:t>il n</w:t>
      </w:r>
      <w:r w:rsidR="00AB22CE" w:rsidRPr="00AB22CE">
        <w:t>’</w:t>
      </w:r>
      <w:r w:rsidRPr="00AB22CE">
        <w:t>y a pas eu violation du droit à un procès équitable puisque la cour d</w:t>
      </w:r>
      <w:r w:rsidR="00AB22CE" w:rsidRPr="00AB22CE">
        <w:t>’</w:t>
      </w:r>
      <w:r w:rsidRPr="00AB22CE">
        <w:t>appel n</w:t>
      </w:r>
      <w:r w:rsidR="00AB22CE" w:rsidRPr="00AB22CE">
        <w:t>’</w:t>
      </w:r>
      <w:r w:rsidRPr="00AB22CE">
        <w:t>a pas fondé le verdict de culpabilité exclusivement sur les déclarations de C.S. mais sur l</w:t>
      </w:r>
      <w:r w:rsidR="00AB22CE" w:rsidRPr="00AB22CE">
        <w:t>’</w:t>
      </w:r>
      <w:r w:rsidRPr="00AB22CE">
        <w:t>ensemble des éléments de preuve disponibles, y compris des éléments obtenus au moyen d</w:t>
      </w:r>
      <w:r w:rsidR="00AB22CE" w:rsidRPr="00AB22CE">
        <w:t>’</w:t>
      </w:r>
      <w:r w:rsidRPr="00AB22CE">
        <w:t>écoutes téléphoniques.</w:t>
      </w:r>
    </w:p>
    <w:bookmarkStart w:id="18" w:name="_Hlk36127691"/>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16</w:t>
      </w:r>
      <w:r w:rsidRPr="00AB22CE">
        <w:fldChar w:fldCharType="end"/>
      </w:r>
      <w:r w:rsidRPr="00AB22CE">
        <w:t>.  La Cour renvoie aux principes généraux régissant les modalités d</w:t>
      </w:r>
      <w:r w:rsidR="00AB22CE" w:rsidRPr="00AB22CE">
        <w:t>’</w:t>
      </w:r>
      <w:r w:rsidRPr="00AB22CE">
        <w:t>application de l</w:t>
      </w:r>
      <w:r w:rsidR="00AB22CE" w:rsidRPr="00AB22CE">
        <w:t>’</w:t>
      </w:r>
      <w:r w:rsidRPr="00AB22CE">
        <w:t>article 6 de la Convention aux procédures d</w:t>
      </w:r>
      <w:r w:rsidR="00AB22CE" w:rsidRPr="00AB22CE">
        <w:t>’</w:t>
      </w:r>
      <w:r w:rsidRPr="00AB22CE">
        <w:t>appel, tels qu</w:t>
      </w:r>
      <w:r w:rsidR="00AB22CE" w:rsidRPr="00AB22CE">
        <w:t>’</w:t>
      </w:r>
      <w:r w:rsidRPr="00AB22CE">
        <w:t xml:space="preserve">ils sont rappelés dans les arrêts </w:t>
      </w:r>
      <w:r w:rsidRPr="00AB22CE">
        <w:rPr>
          <w:i/>
          <w:iCs/>
        </w:rPr>
        <w:t xml:space="preserve">Dan c. Moldova </w:t>
      </w:r>
      <w:r w:rsidRPr="00AB22CE">
        <w:t>(n</w:t>
      </w:r>
      <w:r w:rsidRPr="00AB22CE">
        <w:rPr>
          <w:vertAlign w:val="superscript"/>
        </w:rPr>
        <w:t>o</w:t>
      </w:r>
      <w:r w:rsidRPr="00AB22CE">
        <w:t> 8999/07, § 30</w:t>
      </w:r>
      <w:r w:rsidR="0089231E" w:rsidRPr="00AB22CE">
        <w:t xml:space="preserve">, </w:t>
      </w:r>
      <w:r w:rsidRPr="00AB22CE">
        <w:t xml:space="preserve">5 juillet 2011), </w:t>
      </w:r>
      <w:proofErr w:type="spellStart"/>
      <w:r w:rsidRPr="00AB22CE">
        <w:rPr>
          <w:i/>
          <w:iCs/>
        </w:rPr>
        <w:t>Lorefice</w:t>
      </w:r>
      <w:proofErr w:type="spellEnd"/>
      <w:r w:rsidRPr="00AB22CE">
        <w:rPr>
          <w:i/>
          <w:iCs/>
        </w:rPr>
        <w:t xml:space="preserve"> </w:t>
      </w:r>
      <w:r w:rsidRPr="00AB22CE">
        <w:t xml:space="preserve">(précité, § 36), et </w:t>
      </w:r>
      <w:r w:rsidRPr="00AB22CE">
        <w:rPr>
          <w:i/>
          <w:iCs/>
        </w:rPr>
        <w:t>Tondo c. Italie</w:t>
      </w:r>
      <w:r w:rsidRPr="00AB22CE">
        <w:t xml:space="preserve"> ([comité], n</w:t>
      </w:r>
      <w:r w:rsidRPr="00AB22CE">
        <w:rPr>
          <w:vertAlign w:val="superscript"/>
        </w:rPr>
        <w:t>o</w:t>
      </w:r>
      <w:r w:rsidRPr="00AB22CE">
        <w:t> 75037/14, §§ 38-39, 22 octobre 2020).</w:t>
      </w:r>
    </w:p>
    <w:p w:rsidR="00C72F5D" w:rsidRPr="00AB22CE" w:rsidRDefault="00C72F5D" w:rsidP="00AB22CE">
      <w:pPr>
        <w:pStyle w:val="JuPara"/>
      </w:pPr>
      <w:r w:rsidRPr="00AB22CE">
        <w:lastRenderedPageBreak/>
        <w:fldChar w:fldCharType="begin"/>
      </w:r>
      <w:r w:rsidRPr="00AB22CE">
        <w:instrText xml:space="preserve"> SEQ level0 \*arabic </w:instrText>
      </w:r>
      <w:r w:rsidRPr="00AB22CE">
        <w:fldChar w:fldCharType="separate"/>
      </w:r>
      <w:r w:rsidR="00AB22CE" w:rsidRPr="00AB22CE">
        <w:rPr>
          <w:noProof/>
        </w:rPr>
        <w:t>17</w:t>
      </w:r>
      <w:r w:rsidRPr="00AB22CE">
        <w:fldChar w:fldCharType="end"/>
      </w:r>
      <w:r w:rsidRPr="00AB22CE">
        <w:t>.  En l</w:t>
      </w:r>
      <w:r w:rsidR="00AB22CE" w:rsidRPr="00AB22CE">
        <w:t>’</w:t>
      </w:r>
      <w:r w:rsidRPr="00AB22CE">
        <w:t>espèce, elle observe que la cour d</w:t>
      </w:r>
      <w:r w:rsidR="00AB22CE" w:rsidRPr="00AB22CE">
        <w:t>’</w:t>
      </w:r>
      <w:r w:rsidRPr="00AB22CE">
        <w:t>appel de Florence a renversé le verdict d</w:t>
      </w:r>
      <w:r w:rsidR="00AB22CE" w:rsidRPr="00AB22CE">
        <w:t>’</w:t>
      </w:r>
      <w:r w:rsidRPr="00AB22CE">
        <w:t xml:space="preserve">acquittement rendu en première instance en se fondant sur le compte rendu des dépositions de C.S., victime supposée et unique témoin des abus sexuels allégués. Or le tribunal de </w:t>
      </w:r>
      <w:proofErr w:type="spellStart"/>
      <w:r w:rsidRPr="00AB22CE">
        <w:t>Pistoie</w:t>
      </w:r>
      <w:proofErr w:type="spellEnd"/>
      <w:r w:rsidRPr="00AB22CE">
        <w:t xml:space="preserve"> avait jugé ces déclarations incohérentes et insuffisantes pour fonder un verdict de culpabilité.</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18</w:t>
      </w:r>
      <w:r w:rsidRPr="00AB22CE">
        <w:fldChar w:fldCharType="end"/>
      </w:r>
      <w:r w:rsidRPr="00AB22CE">
        <w:t>.  S</w:t>
      </w:r>
      <w:r w:rsidR="00AB22CE" w:rsidRPr="00AB22CE">
        <w:t>’</w:t>
      </w:r>
      <w:r w:rsidRPr="00AB22CE">
        <w:t>il est vrai qu</w:t>
      </w:r>
      <w:r w:rsidR="00AB22CE" w:rsidRPr="00AB22CE">
        <w:t>’</w:t>
      </w:r>
      <w:r w:rsidRPr="00AB22CE">
        <w:t>il appartenait à la cour d</w:t>
      </w:r>
      <w:r w:rsidR="00AB22CE" w:rsidRPr="00AB22CE">
        <w:t>’</w:t>
      </w:r>
      <w:r w:rsidRPr="00AB22CE">
        <w:t>appel d</w:t>
      </w:r>
      <w:r w:rsidR="00AB22CE" w:rsidRPr="00AB22CE">
        <w:t>’</w:t>
      </w:r>
      <w:r w:rsidRPr="00AB22CE">
        <w:t>apprécier les différents éléments de preuve recueillis et que l</w:t>
      </w:r>
      <w:r w:rsidR="00AB22CE" w:rsidRPr="00AB22CE">
        <w:t>’</w:t>
      </w:r>
      <w:r w:rsidRPr="00AB22CE">
        <w:t>accusation était corroborée notamment par le produit d</w:t>
      </w:r>
      <w:r w:rsidR="00AB22CE" w:rsidRPr="00AB22CE">
        <w:t>’</w:t>
      </w:r>
      <w:r w:rsidRPr="00AB22CE">
        <w:t>écoutes téléphoniques, il n</w:t>
      </w:r>
      <w:r w:rsidR="00AB22CE" w:rsidRPr="00AB22CE">
        <w:t>’</w:t>
      </w:r>
      <w:r w:rsidRPr="00AB22CE">
        <w:t>en reste pas moins que le témoignage de C.S. a sans doute joué un rôle déterminant dans la condamnation du requérant et que la cour d</w:t>
      </w:r>
      <w:r w:rsidR="00AB22CE" w:rsidRPr="00AB22CE">
        <w:t>’</w:t>
      </w:r>
      <w:r w:rsidRPr="00AB22CE">
        <w:t>appel s</w:t>
      </w:r>
      <w:r w:rsidR="00AB22CE" w:rsidRPr="00AB22CE">
        <w:t>’</w:t>
      </w:r>
      <w:r w:rsidRPr="00AB22CE">
        <w:t>est livrée à une nouvelle interprétation des déclarations faites par ce témoin devant le tribunal. En rendant un verdict de culpabilité sans avoir entendu C.S. directement, la cour d</w:t>
      </w:r>
      <w:r w:rsidR="00AB22CE" w:rsidRPr="00AB22CE">
        <w:t>’</w:t>
      </w:r>
      <w:r w:rsidRPr="00AB22CE">
        <w:t>appel a donc porté une atteinte significative aux droits de la défense.</w:t>
      </w:r>
    </w:p>
    <w:bookmarkEnd w:id="18"/>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19</w:t>
      </w:r>
      <w:r w:rsidRPr="00AB22CE">
        <w:fldChar w:fldCharType="end"/>
      </w:r>
      <w:r w:rsidRPr="00AB22CE">
        <w:t>.  Dans ces conditions, la Cour considère que le requérant a été privé de son droit à un procès équitable.</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20</w:t>
      </w:r>
      <w:r w:rsidRPr="00AB22CE">
        <w:fldChar w:fldCharType="end"/>
      </w:r>
      <w:r w:rsidRPr="00AB22CE">
        <w:t>.  </w:t>
      </w:r>
      <w:bookmarkStart w:id="19" w:name="_Hlk36127749"/>
      <w:r w:rsidRPr="00AB22CE">
        <w:t>Partant, il y a eu violation de l</w:t>
      </w:r>
      <w:r w:rsidR="00AB22CE" w:rsidRPr="00AB22CE">
        <w:t>’</w:t>
      </w:r>
      <w:r w:rsidRPr="00AB22CE">
        <w:t>article 6 § 1 de la Convention</w:t>
      </w:r>
      <w:bookmarkEnd w:id="19"/>
      <w:r w:rsidRPr="00AB22CE">
        <w:t>.</w:t>
      </w:r>
    </w:p>
    <w:bookmarkEnd w:id="12"/>
    <w:p w:rsidR="00C72F5D" w:rsidRPr="00AB22CE" w:rsidRDefault="00C72F5D" w:rsidP="00AB22CE">
      <w:pPr>
        <w:pStyle w:val="JuHIRoman"/>
      </w:pPr>
      <w:r w:rsidRPr="00AB22CE">
        <w:t>SUR L</w:t>
      </w:r>
      <w:r w:rsidR="00AB22CE" w:rsidRPr="00AB22CE">
        <w:t>’</w:t>
      </w:r>
      <w:r w:rsidRPr="00AB22CE">
        <w:t>APPLICATION DE L</w:t>
      </w:r>
      <w:r w:rsidR="00AB22CE" w:rsidRPr="00AB22CE">
        <w:t>’</w:t>
      </w:r>
      <w:r w:rsidRPr="00AB22CE">
        <w:t>ARTICLE 41 DE LA CONVENTION</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21</w:t>
      </w:r>
      <w:r w:rsidRPr="00AB22CE">
        <w:fldChar w:fldCharType="end"/>
      </w:r>
      <w:r w:rsidRPr="00AB22CE">
        <w:t>.  </w:t>
      </w:r>
      <w:bookmarkStart w:id="20" w:name="_Hlk36128236"/>
      <w:r w:rsidRPr="00AB22CE">
        <w:t>Aux termes de l</w:t>
      </w:r>
      <w:r w:rsidR="00AB22CE" w:rsidRPr="00AB22CE">
        <w:t>’</w:t>
      </w:r>
      <w:r w:rsidRPr="00AB22CE">
        <w:t>article 41 de la Convention :</w:t>
      </w:r>
      <w:bookmarkEnd w:id="20"/>
    </w:p>
    <w:p w:rsidR="00C72F5D" w:rsidRPr="00AB22CE" w:rsidRDefault="00C72F5D" w:rsidP="00AB22CE">
      <w:pPr>
        <w:pStyle w:val="JuQuot"/>
      </w:pPr>
      <w:bookmarkStart w:id="21" w:name="_Hlk36128242"/>
      <w:r w:rsidRPr="00AB22CE">
        <w:t>« Si la Cour déclare qu</w:t>
      </w:r>
      <w:r w:rsidR="00AB22CE" w:rsidRPr="00AB22CE">
        <w:t>’</w:t>
      </w:r>
      <w:r w:rsidRPr="00AB22CE">
        <w:t>il y a eu violation de la Convention ou de ses Protocoles, et si le droit interne de la Haute Partie contractante ne permet d</w:t>
      </w:r>
      <w:r w:rsidR="00AB22CE" w:rsidRPr="00AB22CE">
        <w:t>’</w:t>
      </w:r>
      <w:r w:rsidRPr="00AB22CE">
        <w:t>effacer qu</w:t>
      </w:r>
      <w:r w:rsidR="00AB22CE" w:rsidRPr="00AB22CE">
        <w:t>’</w:t>
      </w:r>
      <w:r w:rsidRPr="00AB22CE">
        <w:t>imparfaitement les conséquences de cette violation, la Cour accorde à la partie lésée, s</w:t>
      </w:r>
      <w:r w:rsidR="00AB22CE" w:rsidRPr="00AB22CE">
        <w:t>’</w:t>
      </w:r>
      <w:r w:rsidRPr="00AB22CE">
        <w:t>il y a lieu, une satisfaction équitable. »</w:t>
      </w:r>
      <w:bookmarkEnd w:id="21"/>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22</w:t>
      </w:r>
      <w:r w:rsidRPr="00AB22CE">
        <w:fldChar w:fldCharType="end"/>
      </w:r>
      <w:r w:rsidRPr="00AB22CE">
        <w:t>.  Le requérant demande 500 000 euros (EUR) pour préjudice moral et matériel. Cette somme constitue selon lui le dédommagement des conséquences néfastes qu</w:t>
      </w:r>
      <w:r w:rsidR="00AB22CE" w:rsidRPr="00AB22CE">
        <w:t>’</w:t>
      </w:r>
      <w:r w:rsidRPr="00AB22CE">
        <w:t>aurait eues sur sa santé la détention qu</w:t>
      </w:r>
      <w:r w:rsidR="00AB22CE" w:rsidRPr="00AB22CE">
        <w:t>’</w:t>
      </w:r>
      <w:r w:rsidRPr="00AB22CE">
        <w:t>il a subie en raison de sa condamnation.</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23</w:t>
      </w:r>
      <w:r w:rsidRPr="00AB22CE">
        <w:fldChar w:fldCharType="end"/>
      </w:r>
      <w:r w:rsidRPr="00AB22CE">
        <w:t>.  Le Gouvernement conteste ces prétentions.</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24</w:t>
      </w:r>
      <w:r w:rsidRPr="00AB22CE">
        <w:fldChar w:fldCharType="end"/>
      </w:r>
      <w:r w:rsidRPr="00AB22CE">
        <w:t>.  La Cour note qu</w:t>
      </w:r>
      <w:r w:rsidR="00AB22CE" w:rsidRPr="00AB22CE">
        <w:t>’</w:t>
      </w:r>
      <w:r w:rsidRPr="00AB22CE">
        <w:t>en l</w:t>
      </w:r>
      <w:r w:rsidR="00AB22CE" w:rsidRPr="00AB22CE">
        <w:t>’</w:t>
      </w:r>
      <w:r w:rsidRPr="00AB22CE">
        <w:t>espèce la seule base à retenir pour l</w:t>
      </w:r>
      <w:r w:rsidR="00AB22CE" w:rsidRPr="00AB22CE">
        <w:t>’</w:t>
      </w:r>
      <w:r w:rsidRPr="00AB22CE">
        <w:t>octroi d</w:t>
      </w:r>
      <w:r w:rsidR="00AB22CE" w:rsidRPr="00AB22CE">
        <w:t>’</w:t>
      </w:r>
      <w:r w:rsidRPr="00AB22CE">
        <w:t>une satisfaction équitable réside dans le fait que le requérant n</w:t>
      </w:r>
      <w:r w:rsidR="00AB22CE" w:rsidRPr="00AB22CE">
        <w:t>’</w:t>
      </w:r>
      <w:r w:rsidRPr="00AB22CE">
        <w:t>a pas bénéficié des garanties d</w:t>
      </w:r>
      <w:r w:rsidR="00AB22CE" w:rsidRPr="00AB22CE">
        <w:t>’</w:t>
      </w:r>
      <w:r w:rsidRPr="00AB22CE">
        <w:t>un procès équitable au sens de l</w:t>
      </w:r>
      <w:r w:rsidR="00AB22CE" w:rsidRPr="00AB22CE">
        <w:t>’</w:t>
      </w:r>
      <w:r w:rsidRPr="00AB22CE">
        <w:t>article 6 § 1 de la Convention. Elle ne distingue aucun lien de causalité entre la violation constatée et le dommage matériel allégué. Elle rejette donc la demande formulée à ce titre tout en octroyant au requérant 6 500 EUR pour dommage moral. En revanche, le requérant n</w:t>
      </w:r>
      <w:r w:rsidR="00AB22CE" w:rsidRPr="00AB22CE">
        <w:t>’</w:t>
      </w:r>
      <w:r w:rsidRPr="00AB22CE">
        <w:t>ayant pas demandé le remboursement des frais et dépens liés à la procédure, la Cour n</w:t>
      </w:r>
      <w:r w:rsidR="00AB22CE" w:rsidRPr="00AB22CE">
        <w:t>’</w:t>
      </w:r>
      <w:r w:rsidRPr="00AB22CE">
        <w:t>alloue aucune somme à ce titre.</w:t>
      </w:r>
    </w:p>
    <w:p w:rsidR="00C72F5D" w:rsidRPr="00AB22CE" w:rsidRDefault="00C72F5D" w:rsidP="00AB22CE">
      <w:pPr>
        <w:pStyle w:val="JuPara"/>
      </w:pPr>
      <w:r w:rsidRPr="00AB22CE">
        <w:fldChar w:fldCharType="begin"/>
      </w:r>
      <w:r w:rsidRPr="00AB22CE">
        <w:instrText xml:space="preserve"> SEQ level0 \*arabic </w:instrText>
      </w:r>
      <w:r w:rsidRPr="00AB22CE">
        <w:fldChar w:fldCharType="separate"/>
      </w:r>
      <w:r w:rsidR="00AB22CE" w:rsidRPr="00AB22CE">
        <w:rPr>
          <w:noProof/>
        </w:rPr>
        <w:t>25</w:t>
      </w:r>
      <w:r w:rsidRPr="00AB22CE">
        <w:fldChar w:fldCharType="end"/>
      </w:r>
      <w:r w:rsidRPr="00AB22CE">
        <w:t>.  La Cour juge approprié de calquer le taux des intérêts moratoires sur le taux d</w:t>
      </w:r>
      <w:r w:rsidR="00AB22CE" w:rsidRPr="00AB22CE">
        <w:t>’</w:t>
      </w:r>
      <w:r w:rsidRPr="00AB22CE">
        <w:t>intérêt de la facilité de prêt marginal de la Banque centrale européenne majoré de trois points de pourcentage.</w:t>
      </w:r>
    </w:p>
    <w:p w:rsidR="00C72F5D" w:rsidRPr="00AB22CE" w:rsidRDefault="00C72F5D" w:rsidP="00AB22CE">
      <w:pPr>
        <w:pStyle w:val="JuHHead"/>
        <w:numPr>
          <w:ilvl w:val="0"/>
          <w:numId w:val="1"/>
        </w:numPr>
      </w:pPr>
      <w:r w:rsidRPr="00AB22CE">
        <w:lastRenderedPageBreak/>
        <w:t xml:space="preserve">PAR CES MOTIFS, LA COUR, </w:t>
      </w:r>
      <w:r w:rsidRPr="00AB22CE">
        <w:rPr>
          <w:caps w:val="0"/>
        </w:rPr>
        <w:t>À L</w:t>
      </w:r>
      <w:r w:rsidR="00AB22CE" w:rsidRPr="00AB22CE">
        <w:rPr>
          <w:caps w:val="0"/>
        </w:rPr>
        <w:t>’</w:t>
      </w:r>
      <w:r w:rsidRPr="00AB22CE">
        <w:rPr>
          <w:caps w:val="0"/>
        </w:rPr>
        <w:t>UNANIMITÉ</w:t>
      </w:r>
      <w:r w:rsidRPr="00AB22CE">
        <w:t>,</w:t>
      </w:r>
    </w:p>
    <w:p w:rsidR="00C72F5D" w:rsidRPr="00AB22CE" w:rsidRDefault="00C72F5D" w:rsidP="00AB22CE">
      <w:pPr>
        <w:pStyle w:val="JuList"/>
      </w:pPr>
      <w:r w:rsidRPr="00AB22CE">
        <w:rPr>
          <w:i/>
        </w:rPr>
        <w:t>Déclare</w:t>
      </w:r>
      <w:r w:rsidRPr="00AB22CE">
        <w:t xml:space="preserve"> la requête recevable ;</w:t>
      </w:r>
    </w:p>
    <w:p w:rsidR="00C72F5D" w:rsidRPr="00AB22CE" w:rsidRDefault="00C72F5D" w:rsidP="00AB22CE">
      <w:pPr>
        <w:pStyle w:val="JuList"/>
      </w:pPr>
      <w:r w:rsidRPr="00AB22CE">
        <w:rPr>
          <w:i/>
        </w:rPr>
        <w:t>Dit</w:t>
      </w:r>
      <w:r w:rsidRPr="00AB22CE">
        <w:t xml:space="preserve"> qu</w:t>
      </w:r>
      <w:r w:rsidR="00AB22CE" w:rsidRPr="00AB22CE">
        <w:t>’</w:t>
      </w:r>
      <w:r w:rsidRPr="00AB22CE">
        <w:t>il y a eu violation de l</w:t>
      </w:r>
      <w:r w:rsidR="00AB22CE" w:rsidRPr="00AB22CE">
        <w:t>’</w:t>
      </w:r>
      <w:r w:rsidRPr="00AB22CE">
        <w:t>article 6 § 1 de la Convention ;</w:t>
      </w:r>
    </w:p>
    <w:p w:rsidR="00AB22CE" w:rsidRPr="00AB22CE" w:rsidRDefault="00AB22CE" w:rsidP="00AB22CE">
      <w:pPr>
        <w:pStyle w:val="JuList"/>
      </w:pPr>
      <w:r w:rsidRPr="00AB22CE">
        <w:rPr>
          <w:i/>
          <w:iCs/>
        </w:rPr>
        <w:t>Dit</w:t>
      </w:r>
    </w:p>
    <w:p w:rsidR="00C72F5D" w:rsidRPr="00AB22CE" w:rsidRDefault="00C72F5D" w:rsidP="00AB22CE">
      <w:pPr>
        <w:pStyle w:val="JuLista"/>
      </w:pPr>
      <w:bookmarkStart w:id="22" w:name="_Hlk73020284"/>
      <w:proofErr w:type="gramStart"/>
      <w:r w:rsidRPr="00AB22CE">
        <w:t>que</w:t>
      </w:r>
      <w:proofErr w:type="gramEnd"/>
      <w:r w:rsidRPr="00AB22CE">
        <w:t xml:space="preserve"> l</w:t>
      </w:r>
      <w:r w:rsidR="00AB22CE" w:rsidRPr="00AB22CE">
        <w:t>’</w:t>
      </w:r>
      <w:r w:rsidRPr="00AB22CE">
        <w:t>État défendeur doit verser au requérant, dans un délai de trois mois, 6 500 EUR (six mille cinq cents euros), plus tout montant pouvant être dû à titre d</w:t>
      </w:r>
      <w:r w:rsidR="00AB22CE" w:rsidRPr="00AB22CE">
        <w:t>’</w:t>
      </w:r>
      <w:r w:rsidRPr="00AB22CE">
        <w:t>impôt sur cette somme, pour dommage moral ;</w:t>
      </w:r>
    </w:p>
    <w:p w:rsidR="00C72F5D" w:rsidRPr="00AB22CE" w:rsidRDefault="00C72F5D" w:rsidP="00AB22CE">
      <w:pPr>
        <w:pStyle w:val="JuLista"/>
      </w:pPr>
      <w:proofErr w:type="gramStart"/>
      <w:r w:rsidRPr="00AB22CE">
        <w:t>qu</w:t>
      </w:r>
      <w:r w:rsidR="00AB22CE" w:rsidRPr="00AB22CE">
        <w:t>’</w:t>
      </w:r>
      <w:r w:rsidRPr="00AB22CE">
        <w:t>à</w:t>
      </w:r>
      <w:proofErr w:type="gramEnd"/>
      <w:r w:rsidRPr="00AB22CE">
        <w:t xml:space="preserve"> compter de l</w:t>
      </w:r>
      <w:r w:rsidR="00AB22CE" w:rsidRPr="00AB22CE">
        <w:t>’</w:t>
      </w:r>
      <w:r w:rsidRPr="00AB22CE">
        <w:t>expiration dudit délai et jusqu</w:t>
      </w:r>
      <w:r w:rsidR="00AB22CE" w:rsidRPr="00AB22CE">
        <w:t>’</w:t>
      </w:r>
      <w:r w:rsidRPr="00AB22CE">
        <w:t>au versement, ce montant sera à majorer d</w:t>
      </w:r>
      <w:r w:rsidR="00AB22CE" w:rsidRPr="00AB22CE">
        <w:t>’</w:t>
      </w:r>
      <w:r w:rsidRPr="00AB22CE">
        <w:t>un intérêt simple à un taux égal à celui de la facilité de prêt marginal de la Banque centrale européenne applicable pendant cette période, augmenté de trois points de pourcentage </w:t>
      </w:r>
      <w:bookmarkEnd w:id="22"/>
      <w:r w:rsidRPr="00AB22CE">
        <w:t>;</w:t>
      </w:r>
    </w:p>
    <w:p w:rsidR="00876F03" w:rsidRPr="00AB22CE" w:rsidRDefault="00C72F5D" w:rsidP="00AB22CE">
      <w:pPr>
        <w:pStyle w:val="JuList"/>
      </w:pPr>
      <w:r w:rsidRPr="00AB22CE">
        <w:rPr>
          <w:i/>
        </w:rPr>
        <w:t>Rejette</w:t>
      </w:r>
      <w:r w:rsidRPr="00AB22CE">
        <w:t xml:space="preserve"> le surplus de la demande de satisfaction équitable.</w:t>
      </w:r>
    </w:p>
    <w:p w:rsidR="00893F30" w:rsidRPr="00AB22CE" w:rsidRDefault="00893F30" w:rsidP="00AB22CE">
      <w:pPr>
        <w:pStyle w:val="JuParaLast"/>
      </w:pPr>
      <w:r w:rsidRPr="00AB22CE">
        <w:t xml:space="preserve">Fait en français, puis communiqué par écrit le </w:t>
      </w:r>
      <w:r w:rsidR="00C72F5D" w:rsidRPr="00AB22CE">
        <w:t>17 juin 2021</w:t>
      </w:r>
      <w:r w:rsidRPr="00AB22CE">
        <w:t>, en application de l</w:t>
      </w:r>
      <w:r w:rsidR="00AB22CE" w:rsidRPr="00AB22CE">
        <w:t>’</w:t>
      </w:r>
      <w:r w:rsidRPr="00AB22CE">
        <w:t>article 77 §§ 2 et 3 du règlement.</w:t>
      </w:r>
    </w:p>
    <w:p w:rsidR="00876F03" w:rsidRPr="00AB22CE" w:rsidRDefault="001C647C" w:rsidP="00AB22CE">
      <w:pPr>
        <w:pStyle w:val="JuSigned"/>
        <w:spacing w:before="840"/>
      </w:pPr>
      <w:r w:rsidRPr="00AB22CE">
        <w:tab/>
      </w:r>
      <w:r w:rsidR="00C72F5D" w:rsidRPr="00AB22CE">
        <w:t xml:space="preserve">Liv </w:t>
      </w:r>
      <w:proofErr w:type="spellStart"/>
      <w:r w:rsidR="00C72F5D" w:rsidRPr="00AB22CE">
        <w:t>Tigerstedt</w:t>
      </w:r>
      <w:proofErr w:type="spellEnd"/>
      <w:r w:rsidR="004344E6" w:rsidRPr="00AB22CE">
        <w:tab/>
      </w:r>
      <w:r w:rsidR="00C72F5D" w:rsidRPr="00AB22CE">
        <w:t xml:space="preserve">Alena </w:t>
      </w:r>
      <w:proofErr w:type="spellStart"/>
      <w:r w:rsidR="00C72F5D" w:rsidRPr="00AB22CE">
        <w:t>Poláčková</w:t>
      </w:r>
      <w:proofErr w:type="spellEnd"/>
      <w:r w:rsidR="00C72F5D" w:rsidRPr="00AB22CE">
        <w:t xml:space="preserve"> </w:t>
      </w:r>
      <w:r w:rsidR="004344E6" w:rsidRPr="00AB22CE">
        <w:br/>
      </w:r>
      <w:r w:rsidR="004344E6" w:rsidRPr="00AB22CE">
        <w:tab/>
      </w:r>
      <w:r w:rsidR="00C72F5D" w:rsidRPr="00AB22CE">
        <w:t>Greffière adjointe</w:t>
      </w:r>
      <w:r w:rsidR="004344E6" w:rsidRPr="00AB22CE">
        <w:tab/>
      </w:r>
      <w:r w:rsidR="00C72F5D" w:rsidRPr="00AB22CE">
        <w:t>Présidente</w:t>
      </w:r>
    </w:p>
    <w:p w:rsidR="005D1E5D" w:rsidRPr="00AB22CE" w:rsidRDefault="005D1E5D" w:rsidP="00AB22CE">
      <w:pPr>
        <w:pStyle w:val="JuPara"/>
      </w:pPr>
    </w:p>
    <w:sectPr w:rsidR="005D1E5D" w:rsidRPr="00AB22CE">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2A" w:rsidRPr="00C72F5D" w:rsidRDefault="00D3012A" w:rsidP="00516B59">
      <w:r w:rsidRPr="00C72F5D">
        <w:separator/>
      </w:r>
    </w:p>
  </w:endnote>
  <w:endnote w:type="continuationSeparator" w:id="0">
    <w:p w:rsidR="00D3012A" w:rsidRPr="00C72F5D" w:rsidRDefault="00D3012A" w:rsidP="00516B59">
      <w:r w:rsidRPr="00C72F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D6" w:rsidRPr="00C72F5D" w:rsidRDefault="00C72F5D"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F5D" w:rsidRPr="00150BFA" w:rsidRDefault="00C72F5D" w:rsidP="0020718E">
    <w:pPr>
      <w:jc w:val="center"/>
    </w:pPr>
    <w:r>
      <w:rPr>
        <w:noProof/>
        <w:lang w:val="en-US" w:eastAsia="ja-JP"/>
      </w:rPr>
      <w:drawing>
        <wp:inline distT="0" distB="0" distL="0" distR="0" wp14:anchorId="1886F865" wp14:editId="0CF3E687">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C72F5D" w:rsidRDefault="00D3012A"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F5D" w:rsidRPr="00150BFA" w:rsidRDefault="00C72F5D"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C72F5D"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D01935" w:rsidRDefault="00C72F5D"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2A" w:rsidRPr="00C72F5D" w:rsidRDefault="00D3012A" w:rsidP="00516B59">
      <w:r w:rsidRPr="00C72F5D">
        <w:separator/>
      </w:r>
    </w:p>
  </w:footnote>
  <w:footnote w:type="continuationSeparator" w:id="0">
    <w:p w:rsidR="00D3012A" w:rsidRPr="00C72F5D" w:rsidRDefault="00D3012A" w:rsidP="00516B59">
      <w:r w:rsidRPr="00C72F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F5D" w:rsidRPr="00A45145" w:rsidRDefault="00C72F5D" w:rsidP="00A45145">
    <w:pPr>
      <w:jc w:val="center"/>
    </w:pPr>
    <w:r>
      <w:rPr>
        <w:noProof/>
        <w:lang w:val="en-US" w:eastAsia="ja-JP"/>
      </w:rPr>
      <w:drawing>
        <wp:inline distT="0" distB="0" distL="0" distR="0" wp14:anchorId="37609D74" wp14:editId="10854475">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C72F5D" w:rsidRDefault="00D3012A"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F5D" w:rsidRPr="00A45145" w:rsidRDefault="00C72F5D" w:rsidP="00A45145">
    <w:pPr>
      <w:jc w:val="center"/>
    </w:pPr>
    <w:r>
      <w:rPr>
        <w:noProof/>
        <w:lang w:val="en-US" w:eastAsia="ja-JP"/>
      </w:rPr>
      <w:drawing>
        <wp:inline distT="0" distB="0" distL="0" distR="0" wp14:anchorId="37609D74" wp14:editId="1085447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2601" w:rsidRPr="00C72F5D"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C72F5D">
      <w:rPr>
        <w:lang w:val="en-US"/>
      </w:rPr>
      <w:t>DI FEBO c. ITALIE</w:t>
    </w:r>
    <w:r w:rsidR="00C72F5D"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662882" w:rsidRDefault="00256F45" w:rsidP="00662882">
    <w:pPr>
      <w:pStyle w:val="JuHeader"/>
    </w:pPr>
    <w:r w:rsidRPr="00592C8D">
      <w:rPr>
        <w:lang w:val="en-US"/>
      </w:rPr>
      <w:t>ARRÊT</w:t>
    </w:r>
    <w:r w:rsidR="00162967" w:rsidRPr="00592C8D">
      <w:rPr>
        <w:lang w:val="en-US"/>
      </w:rPr>
      <w:t xml:space="preserve"> </w:t>
    </w:r>
    <w:r w:rsidR="00C72F5D">
      <w:rPr>
        <w:lang w:val="en-US"/>
      </w:rPr>
      <w:t>DI FEBO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C604326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084A1C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C72F5D"/>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C647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6FF"/>
    <w:rsid w:val="00260C03"/>
    <w:rsid w:val="002633F0"/>
    <w:rsid w:val="0026540E"/>
    <w:rsid w:val="00275123"/>
    <w:rsid w:val="002802B3"/>
    <w:rsid w:val="00282240"/>
    <w:rsid w:val="002840BD"/>
    <w:rsid w:val="002948AD"/>
    <w:rsid w:val="0029739C"/>
    <w:rsid w:val="002A01CC"/>
    <w:rsid w:val="002A61B1"/>
    <w:rsid w:val="002A663C"/>
    <w:rsid w:val="002B444B"/>
    <w:rsid w:val="002B5887"/>
    <w:rsid w:val="002B7E83"/>
    <w:rsid w:val="002C0E27"/>
    <w:rsid w:val="002C3040"/>
    <w:rsid w:val="002D022D"/>
    <w:rsid w:val="002D0FC1"/>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57DC0"/>
    <w:rsid w:val="00562781"/>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1E5D"/>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7829"/>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231E"/>
    <w:rsid w:val="00893576"/>
    <w:rsid w:val="00893E73"/>
    <w:rsid w:val="00893F30"/>
    <w:rsid w:val="00895F5B"/>
    <w:rsid w:val="008B02DC"/>
    <w:rsid w:val="008B2698"/>
    <w:rsid w:val="008B57CE"/>
    <w:rsid w:val="008C26DE"/>
    <w:rsid w:val="008D2225"/>
    <w:rsid w:val="008D383F"/>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4C29"/>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22CE"/>
    <w:rsid w:val="00AB4328"/>
    <w:rsid w:val="00AB5628"/>
    <w:rsid w:val="00AC00C2"/>
    <w:rsid w:val="00AC5872"/>
    <w:rsid w:val="00AE0A2E"/>
    <w:rsid w:val="00AE354C"/>
    <w:rsid w:val="00AE546E"/>
    <w:rsid w:val="00AF4B07"/>
    <w:rsid w:val="00AF6186"/>
    <w:rsid w:val="00AF7A3A"/>
    <w:rsid w:val="00B009F4"/>
    <w:rsid w:val="00B160DB"/>
    <w:rsid w:val="00B20836"/>
    <w:rsid w:val="00B2133B"/>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186A"/>
    <w:rsid w:val="00C054C7"/>
    <w:rsid w:val="00C057B5"/>
    <w:rsid w:val="00C149F0"/>
    <w:rsid w:val="00C22687"/>
    <w:rsid w:val="00C25983"/>
    <w:rsid w:val="00C32187"/>
    <w:rsid w:val="00C32E4D"/>
    <w:rsid w:val="00C333A0"/>
    <w:rsid w:val="00C36408"/>
    <w:rsid w:val="00C36A81"/>
    <w:rsid w:val="00C41974"/>
    <w:rsid w:val="00C45616"/>
    <w:rsid w:val="00C53F4A"/>
    <w:rsid w:val="00C54125"/>
    <w:rsid w:val="00C55B54"/>
    <w:rsid w:val="00C6098E"/>
    <w:rsid w:val="00C6152C"/>
    <w:rsid w:val="00C72F5D"/>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012A"/>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C647C"/>
    <w:rPr>
      <w:sz w:val="24"/>
      <w:szCs w:val="24"/>
      <w:lang w:val="fr-FR"/>
    </w:rPr>
  </w:style>
  <w:style w:type="paragraph" w:styleId="Titolo1">
    <w:name w:val="heading 1"/>
    <w:basedOn w:val="Normale"/>
    <w:next w:val="Normale"/>
    <w:link w:val="Titolo1Carattere"/>
    <w:uiPriority w:val="98"/>
    <w:semiHidden/>
    <w:rsid w:val="001C647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C647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C647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C647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C647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C647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C647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C647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C647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1C647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C647C"/>
    <w:rPr>
      <w:rFonts w:ascii="Tahoma" w:hAnsi="Tahoma" w:cs="Tahoma"/>
      <w:sz w:val="16"/>
      <w:szCs w:val="16"/>
      <w:lang w:val="fr-FR"/>
    </w:rPr>
  </w:style>
  <w:style w:type="character" w:styleId="Titolodellibro">
    <w:name w:val="Book Title"/>
    <w:uiPriority w:val="98"/>
    <w:semiHidden/>
    <w:qFormat/>
    <w:rsid w:val="001C647C"/>
    <w:rPr>
      <w:i/>
      <w:iCs/>
      <w:smallCaps/>
      <w:spacing w:val="5"/>
    </w:rPr>
  </w:style>
  <w:style w:type="paragraph" w:customStyle="1" w:styleId="JuHeader">
    <w:name w:val="Ju_Header"/>
    <w:aliases w:val="_Header"/>
    <w:basedOn w:val="Intestazione"/>
    <w:uiPriority w:val="29"/>
    <w:qFormat/>
    <w:rsid w:val="001C647C"/>
    <w:pPr>
      <w:tabs>
        <w:tab w:val="clear" w:pos="4536"/>
        <w:tab w:val="clear" w:pos="9072"/>
      </w:tabs>
      <w:jc w:val="center"/>
    </w:pPr>
    <w:rPr>
      <w:sz w:val="18"/>
    </w:rPr>
  </w:style>
  <w:style w:type="paragraph" w:customStyle="1" w:styleId="DummyStyle">
    <w:name w:val="Dummy_Style"/>
    <w:aliases w:val="_Dummy"/>
    <w:basedOn w:val="Normale"/>
    <w:semiHidden/>
    <w:qFormat/>
    <w:rsid w:val="001C647C"/>
    <w:rPr>
      <w:color w:val="00B050"/>
      <w:sz w:val="22"/>
    </w:rPr>
  </w:style>
  <w:style w:type="character" w:styleId="Enfasigrassetto">
    <w:name w:val="Strong"/>
    <w:uiPriority w:val="98"/>
    <w:semiHidden/>
    <w:qFormat/>
    <w:rsid w:val="001C647C"/>
    <w:rPr>
      <w:b/>
      <w:bCs/>
    </w:rPr>
  </w:style>
  <w:style w:type="paragraph" w:styleId="Nessunaspaziatura">
    <w:name w:val="No Spacing"/>
    <w:basedOn w:val="Normale"/>
    <w:link w:val="NessunaspaziaturaCarattere"/>
    <w:uiPriority w:val="98"/>
    <w:semiHidden/>
    <w:qFormat/>
    <w:rsid w:val="001C647C"/>
  </w:style>
  <w:style w:type="character" w:customStyle="1" w:styleId="NessunaspaziaturaCarattere">
    <w:name w:val="Nessuna spaziatura Carattere"/>
    <w:basedOn w:val="Carpredefinitoparagrafo"/>
    <w:link w:val="Nessunaspaziatura"/>
    <w:uiPriority w:val="98"/>
    <w:semiHidden/>
    <w:rsid w:val="001C647C"/>
    <w:rPr>
      <w:sz w:val="24"/>
      <w:szCs w:val="24"/>
      <w:lang w:val="fr-FR"/>
    </w:rPr>
  </w:style>
  <w:style w:type="paragraph" w:customStyle="1" w:styleId="JuQuot">
    <w:name w:val="Ju_Quot"/>
    <w:aliases w:val="_Quote"/>
    <w:basedOn w:val="NormalJustified"/>
    <w:uiPriority w:val="20"/>
    <w:qFormat/>
    <w:rsid w:val="001C647C"/>
    <w:pPr>
      <w:spacing w:before="120" w:after="120"/>
      <w:ind w:left="425" w:firstLine="142"/>
    </w:pPr>
    <w:rPr>
      <w:sz w:val="20"/>
    </w:rPr>
  </w:style>
  <w:style w:type="paragraph" w:customStyle="1" w:styleId="JuList">
    <w:name w:val="Ju_List"/>
    <w:aliases w:val="_List_1"/>
    <w:basedOn w:val="NormalJustified"/>
    <w:uiPriority w:val="23"/>
    <w:qFormat/>
    <w:rsid w:val="001C647C"/>
    <w:pPr>
      <w:numPr>
        <w:numId w:val="8"/>
      </w:numPr>
      <w:spacing w:before="280" w:after="60"/>
    </w:pPr>
  </w:style>
  <w:style w:type="paragraph" w:customStyle="1" w:styleId="JuLista">
    <w:name w:val="Ju_List_a"/>
    <w:aliases w:val="_List_2"/>
    <w:basedOn w:val="NormalJustified"/>
    <w:uiPriority w:val="23"/>
    <w:rsid w:val="001C647C"/>
    <w:pPr>
      <w:numPr>
        <w:ilvl w:val="1"/>
        <w:numId w:val="8"/>
      </w:numPr>
    </w:pPr>
  </w:style>
  <w:style w:type="paragraph" w:customStyle="1" w:styleId="JuListi">
    <w:name w:val="Ju_List_i"/>
    <w:aliases w:val="_List_3"/>
    <w:basedOn w:val="NormalJustified"/>
    <w:uiPriority w:val="23"/>
    <w:rsid w:val="001C647C"/>
    <w:pPr>
      <w:numPr>
        <w:ilvl w:val="2"/>
        <w:numId w:val="8"/>
      </w:numPr>
    </w:pPr>
  </w:style>
  <w:style w:type="paragraph" w:customStyle="1" w:styleId="DecHTitle">
    <w:name w:val="Dec_H_Title"/>
    <w:aliases w:val="_Title_1"/>
    <w:basedOn w:val="JuPara"/>
    <w:next w:val="JuPara"/>
    <w:uiPriority w:val="38"/>
    <w:qFormat/>
    <w:rsid w:val="001C647C"/>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1C647C"/>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1C647C"/>
    <w:pPr>
      <w:keepNext/>
      <w:keepLines/>
      <w:tabs>
        <w:tab w:val="right" w:pos="7938"/>
      </w:tabs>
      <w:ind w:firstLine="0"/>
      <w:jc w:val="center"/>
    </w:pPr>
    <w:rPr>
      <w:i/>
    </w:rPr>
  </w:style>
  <w:style w:type="numbering" w:customStyle="1" w:styleId="ECHRA1StyleBulletedSquare">
    <w:name w:val="ECHR_A1_Style_Bulleted_Square"/>
    <w:basedOn w:val="Nessunelenco"/>
    <w:rsid w:val="001C647C"/>
    <w:pPr>
      <w:numPr>
        <w:numId w:val="7"/>
      </w:numPr>
    </w:pPr>
  </w:style>
  <w:style w:type="paragraph" w:customStyle="1" w:styleId="JuHHead">
    <w:name w:val="Ju_H_Head"/>
    <w:aliases w:val="_Head_1"/>
    <w:basedOn w:val="Titolo1"/>
    <w:next w:val="JuPara"/>
    <w:uiPriority w:val="17"/>
    <w:qFormat/>
    <w:rsid w:val="001C647C"/>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1C647C"/>
    <w:pPr>
      <w:numPr>
        <w:numId w:val="8"/>
      </w:numPr>
    </w:pPr>
  </w:style>
  <w:style w:type="paragraph" w:customStyle="1" w:styleId="JuSigned">
    <w:name w:val="Ju_Signed"/>
    <w:aliases w:val="_Signature"/>
    <w:basedOn w:val="Normale"/>
    <w:next w:val="JuPara"/>
    <w:uiPriority w:val="31"/>
    <w:qFormat/>
    <w:rsid w:val="001C647C"/>
    <w:pPr>
      <w:tabs>
        <w:tab w:val="center" w:pos="851"/>
        <w:tab w:val="center" w:pos="6407"/>
      </w:tabs>
      <w:spacing w:before="720"/>
    </w:pPr>
  </w:style>
  <w:style w:type="paragraph" w:styleId="Titolo">
    <w:name w:val="Title"/>
    <w:basedOn w:val="Normale"/>
    <w:next w:val="Normale"/>
    <w:link w:val="TitoloCarattere"/>
    <w:uiPriority w:val="98"/>
    <w:semiHidden/>
    <w:qFormat/>
    <w:rsid w:val="001C647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C647C"/>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1C647C"/>
    <w:pPr>
      <w:numPr>
        <w:numId w:val="9"/>
      </w:numPr>
    </w:pPr>
  </w:style>
  <w:style w:type="table" w:customStyle="1" w:styleId="ECHRTable2019">
    <w:name w:val="ECHR_Table_2019"/>
    <w:basedOn w:val="Tabellanormale"/>
    <w:uiPriority w:val="99"/>
    <w:rsid w:val="001C647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1C647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1C647C"/>
    <w:pPr>
      <w:tabs>
        <w:tab w:val="center" w:pos="6407"/>
      </w:tabs>
      <w:spacing w:before="720"/>
      <w:jc w:val="right"/>
    </w:pPr>
  </w:style>
  <w:style w:type="paragraph" w:customStyle="1" w:styleId="JuHIRoman">
    <w:name w:val="Ju_H_I_Roman"/>
    <w:aliases w:val="_Head_2"/>
    <w:basedOn w:val="Titolo2"/>
    <w:next w:val="JuPara"/>
    <w:uiPriority w:val="17"/>
    <w:qFormat/>
    <w:rsid w:val="001C647C"/>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1C647C"/>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1C647C"/>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1C647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C647C"/>
    <w:rPr>
      <w:sz w:val="24"/>
      <w:szCs w:val="24"/>
      <w:lang w:val="fr-FR"/>
    </w:rPr>
  </w:style>
  <w:style w:type="character" w:customStyle="1" w:styleId="Titolo1Carattere">
    <w:name w:val="Titolo 1 Carattere"/>
    <w:basedOn w:val="Carpredefinitoparagrafo"/>
    <w:link w:val="Titolo1"/>
    <w:uiPriority w:val="98"/>
    <w:semiHidden/>
    <w:rsid w:val="001C647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1C647C"/>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1C647C"/>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1C647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1C647C"/>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1C647C"/>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1C647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1C647C"/>
    <w:pPr>
      <w:keepNext/>
      <w:keepLines/>
      <w:spacing w:before="240" w:after="240"/>
      <w:ind w:firstLine="284"/>
    </w:pPr>
  </w:style>
  <w:style w:type="paragraph" w:customStyle="1" w:styleId="JuJudges">
    <w:name w:val="Ju_Judges"/>
    <w:aliases w:val="_Judges"/>
    <w:basedOn w:val="Normale"/>
    <w:uiPriority w:val="32"/>
    <w:qFormat/>
    <w:rsid w:val="001C647C"/>
    <w:pPr>
      <w:tabs>
        <w:tab w:val="left" w:pos="567"/>
        <w:tab w:val="left" w:pos="1134"/>
      </w:tabs>
    </w:pPr>
  </w:style>
  <w:style w:type="character" w:customStyle="1" w:styleId="Titolo4Carattere">
    <w:name w:val="Titolo 4 Carattere"/>
    <w:basedOn w:val="Carpredefinitoparagrafo"/>
    <w:link w:val="Titolo4"/>
    <w:uiPriority w:val="98"/>
    <w:semiHidden/>
    <w:rsid w:val="001C647C"/>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1C647C"/>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1C647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C647C"/>
    <w:rPr>
      <w:caps w:val="0"/>
      <w:smallCaps/>
    </w:rPr>
  </w:style>
  <w:style w:type="paragraph" w:customStyle="1" w:styleId="NormalJustified">
    <w:name w:val="Normal_Justified"/>
    <w:basedOn w:val="Normale"/>
    <w:semiHidden/>
    <w:rsid w:val="001C647C"/>
    <w:pPr>
      <w:jc w:val="both"/>
    </w:pPr>
  </w:style>
  <w:style w:type="character" w:styleId="Enfasidelicata">
    <w:name w:val="Subtle Emphasis"/>
    <w:uiPriority w:val="98"/>
    <w:semiHidden/>
    <w:qFormat/>
    <w:rsid w:val="001C647C"/>
    <w:rPr>
      <w:i/>
      <w:iCs/>
    </w:rPr>
  </w:style>
  <w:style w:type="table" w:customStyle="1" w:styleId="ECHRTable">
    <w:name w:val="ECHR_Table"/>
    <w:basedOn w:val="Tabellanormale"/>
    <w:rsid w:val="001C647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C647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1C647C"/>
    <w:rPr>
      <w:b/>
      <w:bCs/>
      <w:i/>
      <w:iCs/>
      <w:spacing w:val="10"/>
      <w:bdr w:val="none" w:sz="0" w:space="0" w:color="auto"/>
      <w:shd w:val="clear" w:color="auto" w:fill="auto"/>
    </w:rPr>
  </w:style>
  <w:style w:type="paragraph" w:styleId="Pidipagina">
    <w:name w:val="footer"/>
    <w:basedOn w:val="Normale"/>
    <w:link w:val="PidipaginaCarattere"/>
    <w:uiPriority w:val="98"/>
    <w:semiHidden/>
    <w:rsid w:val="001C647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C647C"/>
    <w:rPr>
      <w:sz w:val="24"/>
      <w:szCs w:val="24"/>
      <w:lang w:val="fr-FR"/>
    </w:rPr>
  </w:style>
  <w:style w:type="character" w:styleId="Rimandonotaapidipagina">
    <w:name w:val="footnote reference"/>
    <w:basedOn w:val="Carpredefinitoparagrafo"/>
    <w:uiPriority w:val="98"/>
    <w:semiHidden/>
    <w:rsid w:val="001C647C"/>
    <w:rPr>
      <w:vertAlign w:val="superscript"/>
    </w:rPr>
  </w:style>
  <w:style w:type="paragraph" w:styleId="Testonotaapidipagina">
    <w:name w:val="footnote text"/>
    <w:basedOn w:val="Normale"/>
    <w:link w:val="TestonotaapidipaginaCarattere"/>
    <w:uiPriority w:val="98"/>
    <w:semiHidden/>
    <w:rsid w:val="001C647C"/>
    <w:rPr>
      <w:sz w:val="20"/>
      <w:szCs w:val="20"/>
    </w:rPr>
  </w:style>
  <w:style w:type="character" w:customStyle="1" w:styleId="TestonotaapidipaginaCarattere">
    <w:name w:val="Testo nota a piè di pagina Carattere"/>
    <w:basedOn w:val="Carpredefinitoparagrafo"/>
    <w:link w:val="Testonotaapidipagina"/>
    <w:uiPriority w:val="98"/>
    <w:semiHidden/>
    <w:rsid w:val="001C647C"/>
    <w:rPr>
      <w:sz w:val="20"/>
      <w:szCs w:val="20"/>
      <w:lang w:val="fr-FR"/>
    </w:rPr>
  </w:style>
  <w:style w:type="character" w:customStyle="1" w:styleId="Titolo6Carattere">
    <w:name w:val="Titolo 6 Carattere"/>
    <w:basedOn w:val="Carpredefinitoparagrafo"/>
    <w:link w:val="Titolo6"/>
    <w:uiPriority w:val="98"/>
    <w:semiHidden/>
    <w:rsid w:val="001C647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1C647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1C647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1C647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1C647C"/>
    <w:rPr>
      <w:color w:val="0072BC" w:themeColor="hyperlink"/>
      <w:u w:val="single"/>
    </w:rPr>
  </w:style>
  <w:style w:type="character" w:styleId="Enfasiintensa">
    <w:name w:val="Intense Emphasis"/>
    <w:uiPriority w:val="98"/>
    <w:semiHidden/>
    <w:qFormat/>
    <w:rsid w:val="001C647C"/>
    <w:rPr>
      <w:b/>
      <w:bCs/>
    </w:rPr>
  </w:style>
  <w:style w:type="paragraph" w:styleId="Citazioneintensa">
    <w:name w:val="Intense Quote"/>
    <w:basedOn w:val="Normale"/>
    <w:next w:val="Normale"/>
    <w:link w:val="CitazioneintensaCarattere"/>
    <w:uiPriority w:val="98"/>
    <w:semiHidden/>
    <w:qFormat/>
    <w:rsid w:val="001C647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C647C"/>
    <w:rPr>
      <w:b/>
      <w:bCs/>
      <w:i/>
      <w:iCs/>
      <w:sz w:val="24"/>
      <w:szCs w:val="24"/>
      <w:lang w:val="fr-FR" w:bidi="en-US"/>
    </w:rPr>
  </w:style>
  <w:style w:type="character" w:styleId="Riferimentointenso">
    <w:name w:val="Intense Reference"/>
    <w:uiPriority w:val="98"/>
    <w:semiHidden/>
    <w:qFormat/>
    <w:rsid w:val="001C647C"/>
    <w:rPr>
      <w:smallCaps/>
      <w:spacing w:val="5"/>
      <w:u w:val="single"/>
    </w:rPr>
  </w:style>
  <w:style w:type="paragraph" w:styleId="Paragrafoelenco">
    <w:name w:val="List Paragraph"/>
    <w:basedOn w:val="Normale"/>
    <w:uiPriority w:val="98"/>
    <w:semiHidden/>
    <w:qFormat/>
    <w:rsid w:val="001C647C"/>
    <w:pPr>
      <w:ind w:left="720"/>
      <w:contextualSpacing/>
    </w:pPr>
  </w:style>
  <w:style w:type="table" w:customStyle="1" w:styleId="LtrTableAddress">
    <w:name w:val="Ltr_Table_Address"/>
    <w:aliases w:val="ECHR_Ltr_Table_Address"/>
    <w:basedOn w:val="Tabellanormale"/>
    <w:uiPriority w:val="99"/>
    <w:rsid w:val="001C647C"/>
    <w:rPr>
      <w:sz w:val="24"/>
      <w:szCs w:val="24"/>
    </w:rPr>
    <w:tblPr>
      <w:tblInd w:w="5103" w:type="dxa"/>
    </w:tblPr>
  </w:style>
  <w:style w:type="paragraph" w:styleId="Citazione">
    <w:name w:val="Quote"/>
    <w:basedOn w:val="Normale"/>
    <w:next w:val="Normale"/>
    <w:link w:val="CitazioneCarattere"/>
    <w:uiPriority w:val="98"/>
    <w:semiHidden/>
    <w:qFormat/>
    <w:rsid w:val="001C647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C647C"/>
    <w:rPr>
      <w:i/>
      <w:iCs/>
      <w:sz w:val="24"/>
      <w:szCs w:val="24"/>
      <w:lang w:val="fr-FR" w:bidi="en-US"/>
    </w:rPr>
  </w:style>
  <w:style w:type="character" w:styleId="Riferimentodelicato">
    <w:name w:val="Subtle Reference"/>
    <w:uiPriority w:val="98"/>
    <w:semiHidden/>
    <w:qFormat/>
    <w:rsid w:val="001C647C"/>
    <w:rPr>
      <w:smallCaps/>
    </w:rPr>
  </w:style>
  <w:style w:type="table" w:styleId="Grigliatabella">
    <w:name w:val="Table Grid"/>
    <w:basedOn w:val="Tabellanormale"/>
    <w:uiPriority w:val="59"/>
    <w:semiHidden/>
    <w:rsid w:val="001C647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1C647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C647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C647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C647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C647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1C647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1C647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C647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1C647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C647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C647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1C647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1C647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1C647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C647C"/>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1C647C"/>
    <w:pPr>
      <w:numPr>
        <w:numId w:val="4"/>
      </w:numPr>
    </w:pPr>
  </w:style>
  <w:style w:type="paragraph" w:customStyle="1" w:styleId="JuPara">
    <w:name w:val="Ju_Para"/>
    <w:aliases w:val="_Para"/>
    <w:basedOn w:val="NormalJustified"/>
    <w:link w:val="JuParaChar"/>
    <w:uiPriority w:val="4"/>
    <w:qFormat/>
    <w:rsid w:val="001C647C"/>
    <w:pPr>
      <w:ind w:firstLine="284"/>
    </w:pPr>
  </w:style>
  <w:style w:type="numbering" w:styleId="1ai">
    <w:name w:val="Outline List 1"/>
    <w:basedOn w:val="Nessunelenco"/>
    <w:uiPriority w:val="99"/>
    <w:semiHidden/>
    <w:unhideWhenUsed/>
    <w:rsid w:val="001C647C"/>
    <w:pPr>
      <w:numPr>
        <w:numId w:val="5"/>
      </w:numPr>
    </w:pPr>
  </w:style>
  <w:style w:type="table" w:customStyle="1" w:styleId="ECHRTableSimpleBox">
    <w:name w:val="ECHR_Table_Simple_Box"/>
    <w:basedOn w:val="Tabellanormale"/>
    <w:uiPriority w:val="99"/>
    <w:rsid w:val="001C647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C647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1C647C"/>
    <w:pPr>
      <w:numPr>
        <w:numId w:val="6"/>
      </w:numPr>
    </w:pPr>
  </w:style>
  <w:style w:type="table" w:customStyle="1" w:styleId="ECHRTableForInternalUse">
    <w:name w:val="ECHR_Table_For_Internal_Use"/>
    <w:basedOn w:val="Tabellanormale"/>
    <w:uiPriority w:val="99"/>
    <w:rsid w:val="001C647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C647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1C647C"/>
  </w:style>
  <w:style w:type="paragraph" w:styleId="Testodelblocco">
    <w:name w:val="Block Text"/>
    <w:basedOn w:val="Normale"/>
    <w:uiPriority w:val="98"/>
    <w:semiHidden/>
    <w:rsid w:val="001C647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1C647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1C647C"/>
    <w:pPr>
      <w:spacing w:after="120"/>
    </w:pPr>
  </w:style>
  <w:style w:type="character" w:customStyle="1" w:styleId="CorpotestoCarattere">
    <w:name w:val="Corpo testo Carattere"/>
    <w:basedOn w:val="Carpredefinitoparagrafo"/>
    <w:link w:val="Corpotesto"/>
    <w:uiPriority w:val="98"/>
    <w:semiHidden/>
    <w:rsid w:val="001C647C"/>
    <w:rPr>
      <w:sz w:val="24"/>
      <w:szCs w:val="24"/>
      <w:lang w:val="fr-FR"/>
    </w:rPr>
  </w:style>
  <w:style w:type="table" w:customStyle="1" w:styleId="ECHRTableOddBanded">
    <w:name w:val="ECHR_Table_Odd_Banded"/>
    <w:basedOn w:val="Tabellanormale"/>
    <w:uiPriority w:val="99"/>
    <w:rsid w:val="001C647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1C647C"/>
    <w:pPr>
      <w:spacing w:after="120" w:line="480" w:lineRule="auto"/>
    </w:pPr>
  </w:style>
  <w:style w:type="table" w:customStyle="1" w:styleId="ECHRHeaderTableReduced">
    <w:name w:val="ECHR_Header_Table_Reduced"/>
    <w:basedOn w:val="Tabellanormale"/>
    <w:uiPriority w:val="99"/>
    <w:rsid w:val="001C647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1C647C"/>
    <w:pPr>
      <w:ind w:firstLine="284"/>
    </w:pPr>
    <w:rPr>
      <w:b/>
    </w:rPr>
  </w:style>
  <w:style w:type="character" w:styleId="Numeropagina">
    <w:name w:val="page number"/>
    <w:uiPriority w:val="98"/>
    <w:semiHidden/>
    <w:rsid w:val="001C647C"/>
    <w:rPr>
      <w:sz w:val="18"/>
    </w:rPr>
  </w:style>
  <w:style w:type="paragraph" w:styleId="Puntoelenco2">
    <w:name w:val="List Bullet 2"/>
    <w:basedOn w:val="Normale"/>
    <w:uiPriority w:val="98"/>
    <w:semiHidden/>
    <w:rsid w:val="001C647C"/>
    <w:pPr>
      <w:numPr>
        <w:numId w:val="11"/>
      </w:numPr>
      <w:contextualSpacing/>
    </w:pPr>
  </w:style>
  <w:style w:type="character" w:customStyle="1" w:styleId="Corpodeltesto2Carattere">
    <w:name w:val="Corpo del testo 2 Carattere"/>
    <w:basedOn w:val="Carpredefinitoparagrafo"/>
    <w:link w:val="Corpodeltesto2"/>
    <w:uiPriority w:val="98"/>
    <w:semiHidden/>
    <w:rsid w:val="001C647C"/>
    <w:rPr>
      <w:sz w:val="24"/>
      <w:szCs w:val="24"/>
      <w:lang w:val="fr-FR"/>
    </w:rPr>
  </w:style>
  <w:style w:type="paragraph" w:styleId="Corpodeltesto3">
    <w:name w:val="Body Text 3"/>
    <w:basedOn w:val="Normale"/>
    <w:link w:val="Corpodeltesto3Carattere"/>
    <w:uiPriority w:val="98"/>
    <w:semiHidden/>
    <w:rsid w:val="001C647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C647C"/>
    <w:rPr>
      <w:sz w:val="16"/>
      <w:szCs w:val="16"/>
      <w:lang w:val="fr-FR"/>
    </w:rPr>
  </w:style>
  <w:style w:type="paragraph" w:styleId="Primorientrocorpodeltesto">
    <w:name w:val="Body Text First Indent"/>
    <w:basedOn w:val="Corpotesto"/>
    <w:link w:val="PrimorientrocorpodeltestoCarattere"/>
    <w:uiPriority w:val="98"/>
    <w:semiHidden/>
    <w:rsid w:val="001C647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C647C"/>
    <w:rPr>
      <w:sz w:val="24"/>
      <w:szCs w:val="24"/>
      <w:lang w:val="fr-FR"/>
    </w:rPr>
  </w:style>
  <w:style w:type="paragraph" w:styleId="Rientrocorpodeltesto">
    <w:name w:val="Body Text Indent"/>
    <w:basedOn w:val="Normale"/>
    <w:link w:val="RientrocorpodeltestoCarattere"/>
    <w:uiPriority w:val="98"/>
    <w:semiHidden/>
    <w:rsid w:val="001C647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C647C"/>
    <w:rPr>
      <w:sz w:val="24"/>
      <w:szCs w:val="24"/>
      <w:lang w:val="fr-FR"/>
    </w:rPr>
  </w:style>
  <w:style w:type="paragraph" w:styleId="Primorientrocorpodeltesto2">
    <w:name w:val="Body Text First Indent 2"/>
    <w:basedOn w:val="Rientrocorpodeltesto"/>
    <w:link w:val="Primorientrocorpodeltesto2Carattere"/>
    <w:uiPriority w:val="98"/>
    <w:semiHidden/>
    <w:rsid w:val="001C647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C647C"/>
    <w:rPr>
      <w:sz w:val="24"/>
      <w:szCs w:val="24"/>
      <w:lang w:val="fr-FR"/>
    </w:rPr>
  </w:style>
  <w:style w:type="paragraph" w:styleId="Rientrocorpodeltesto2">
    <w:name w:val="Body Text Indent 2"/>
    <w:basedOn w:val="Normale"/>
    <w:link w:val="Rientrocorpodeltesto2Carattere"/>
    <w:uiPriority w:val="98"/>
    <w:semiHidden/>
    <w:rsid w:val="001C647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C647C"/>
    <w:rPr>
      <w:sz w:val="24"/>
      <w:szCs w:val="24"/>
      <w:lang w:val="fr-FR"/>
    </w:rPr>
  </w:style>
  <w:style w:type="paragraph" w:styleId="Rientrocorpodeltesto3">
    <w:name w:val="Body Text Indent 3"/>
    <w:basedOn w:val="Normale"/>
    <w:link w:val="Rientrocorpodeltesto3Carattere"/>
    <w:uiPriority w:val="98"/>
    <w:semiHidden/>
    <w:rsid w:val="001C647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C647C"/>
    <w:rPr>
      <w:sz w:val="16"/>
      <w:szCs w:val="16"/>
      <w:lang w:val="fr-FR"/>
    </w:rPr>
  </w:style>
  <w:style w:type="paragraph" w:styleId="Didascalia">
    <w:name w:val="caption"/>
    <w:basedOn w:val="Normale"/>
    <w:next w:val="Normale"/>
    <w:uiPriority w:val="98"/>
    <w:semiHidden/>
    <w:qFormat/>
    <w:rsid w:val="001C647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C647C"/>
    <w:pPr>
      <w:ind w:left="4252"/>
    </w:pPr>
  </w:style>
  <w:style w:type="character" w:customStyle="1" w:styleId="FormuladichiusuraCarattere">
    <w:name w:val="Formula di chiusura Carattere"/>
    <w:basedOn w:val="Carpredefinitoparagrafo"/>
    <w:link w:val="Formuladichiusura"/>
    <w:uiPriority w:val="98"/>
    <w:semiHidden/>
    <w:rsid w:val="001C647C"/>
    <w:rPr>
      <w:sz w:val="24"/>
      <w:szCs w:val="24"/>
      <w:lang w:val="fr-FR"/>
    </w:rPr>
  </w:style>
  <w:style w:type="table" w:styleId="Grigliaacolori">
    <w:name w:val="Colorful Grid"/>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C647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C647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C647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C647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C647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C647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C647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C647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C647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C647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C647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C647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C647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C647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C647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1C647C"/>
    <w:rPr>
      <w:sz w:val="16"/>
      <w:szCs w:val="16"/>
    </w:rPr>
  </w:style>
  <w:style w:type="paragraph" w:styleId="Testocommento">
    <w:name w:val="annotation text"/>
    <w:basedOn w:val="Normale"/>
    <w:link w:val="TestocommentoCarattere"/>
    <w:uiPriority w:val="98"/>
    <w:semiHidden/>
    <w:rsid w:val="001C647C"/>
    <w:rPr>
      <w:sz w:val="20"/>
      <w:szCs w:val="20"/>
    </w:rPr>
  </w:style>
  <w:style w:type="character" w:customStyle="1" w:styleId="TestocommentoCarattere">
    <w:name w:val="Testo commento Carattere"/>
    <w:basedOn w:val="Carpredefinitoparagrafo"/>
    <w:link w:val="Testocommento"/>
    <w:uiPriority w:val="98"/>
    <w:semiHidden/>
    <w:rsid w:val="001C647C"/>
    <w:rPr>
      <w:sz w:val="20"/>
      <w:szCs w:val="20"/>
      <w:lang w:val="fr-FR"/>
    </w:rPr>
  </w:style>
  <w:style w:type="paragraph" w:styleId="Soggettocommento">
    <w:name w:val="annotation subject"/>
    <w:basedOn w:val="Testocommento"/>
    <w:next w:val="Testocommento"/>
    <w:link w:val="SoggettocommentoCarattere"/>
    <w:uiPriority w:val="98"/>
    <w:semiHidden/>
    <w:rsid w:val="001C647C"/>
    <w:rPr>
      <w:b/>
      <w:bCs/>
    </w:rPr>
  </w:style>
  <w:style w:type="character" w:customStyle="1" w:styleId="SoggettocommentoCarattere">
    <w:name w:val="Soggetto commento Carattere"/>
    <w:basedOn w:val="TestocommentoCarattere"/>
    <w:link w:val="Soggettocommento"/>
    <w:uiPriority w:val="98"/>
    <w:semiHidden/>
    <w:rsid w:val="001C647C"/>
    <w:rPr>
      <w:b/>
      <w:bCs/>
      <w:sz w:val="20"/>
      <w:szCs w:val="20"/>
      <w:lang w:val="fr-FR"/>
    </w:rPr>
  </w:style>
  <w:style w:type="table" w:styleId="Elencoscuro">
    <w:name w:val="Dark List"/>
    <w:basedOn w:val="Tabellanormale"/>
    <w:uiPriority w:val="70"/>
    <w:semiHidden/>
    <w:rsid w:val="001C647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C647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C647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C647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C647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C647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C647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C647C"/>
  </w:style>
  <w:style w:type="character" w:customStyle="1" w:styleId="DataCarattere">
    <w:name w:val="Data Carattere"/>
    <w:basedOn w:val="Carpredefinitoparagrafo"/>
    <w:link w:val="Data"/>
    <w:uiPriority w:val="98"/>
    <w:semiHidden/>
    <w:rsid w:val="001C647C"/>
    <w:rPr>
      <w:sz w:val="24"/>
      <w:szCs w:val="24"/>
      <w:lang w:val="fr-FR"/>
    </w:rPr>
  </w:style>
  <w:style w:type="paragraph" w:styleId="Mappadocumento">
    <w:name w:val="Document Map"/>
    <w:basedOn w:val="Normale"/>
    <w:link w:val="MappadocumentoCarattere"/>
    <w:uiPriority w:val="98"/>
    <w:semiHidden/>
    <w:rsid w:val="001C647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C647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1C647C"/>
  </w:style>
  <w:style w:type="character" w:customStyle="1" w:styleId="FirmadipostaelettronicaCarattere">
    <w:name w:val="Firma di posta elettronica Carattere"/>
    <w:basedOn w:val="Carpredefinitoparagrafo"/>
    <w:link w:val="Firmadipostaelettronica"/>
    <w:uiPriority w:val="98"/>
    <w:semiHidden/>
    <w:rsid w:val="001C647C"/>
    <w:rPr>
      <w:sz w:val="24"/>
      <w:szCs w:val="24"/>
      <w:lang w:val="fr-FR"/>
    </w:rPr>
  </w:style>
  <w:style w:type="character" w:styleId="Rimandonotadichiusura">
    <w:name w:val="endnote reference"/>
    <w:basedOn w:val="Carpredefinitoparagrafo"/>
    <w:uiPriority w:val="98"/>
    <w:semiHidden/>
    <w:rsid w:val="001C647C"/>
    <w:rPr>
      <w:vertAlign w:val="superscript"/>
    </w:rPr>
  </w:style>
  <w:style w:type="paragraph" w:styleId="Testonotadichiusura">
    <w:name w:val="endnote text"/>
    <w:basedOn w:val="Normale"/>
    <w:link w:val="TestonotadichiusuraCarattere"/>
    <w:uiPriority w:val="98"/>
    <w:semiHidden/>
    <w:rsid w:val="001C647C"/>
    <w:rPr>
      <w:sz w:val="20"/>
      <w:szCs w:val="20"/>
    </w:rPr>
  </w:style>
  <w:style w:type="character" w:customStyle="1" w:styleId="TestonotadichiusuraCarattere">
    <w:name w:val="Testo nota di chiusura Carattere"/>
    <w:basedOn w:val="Carpredefinitoparagrafo"/>
    <w:link w:val="Testonotadichiusura"/>
    <w:uiPriority w:val="98"/>
    <w:semiHidden/>
    <w:rsid w:val="001C647C"/>
    <w:rPr>
      <w:sz w:val="20"/>
      <w:szCs w:val="20"/>
      <w:lang w:val="fr-FR"/>
    </w:rPr>
  </w:style>
  <w:style w:type="paragraph" w:styleId="Indirizzodestinatario">
    <w:name w:val="envelope address"/>
    <w:basedOn w:val="Normale"/>
    <w:uiPriority w:val="98"/>
    <w:semiHidden/>
    <w:rsid w:val="001C647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C647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C647C"/>
    <w:rPr>
      <w:color w:val="7030A0" w:themeColor="followedHyperlink"/>
      <w:u w:val="single"/>
    </w:rPr>
  </w:style>
  <w:style w:type="character" w:styleId="AcronimoHTML">
    <w:name w:val="HTML Acronym"/>
    <w:basedOn w:val="Carpredefinitoparagrafo"/>
    <w:uiPriority w:val="98"/>
    <w:semiHidden/>
    <w:rsid w:val="001C647C"/>
  </w:style>
  <w:style w:type="paragraph" w:styleId="IndirizzoHTML">
    <w:name w:val="HTML Address"/>
    <w:basedOn w:val="Normale"/>
    <w:link w:val="IndirizzoHTMLCarattere"/>
    <w:uiPriority w:val="98"/>
    <w:semiHidden/>
    <w:rsid w:val="001C647C"/>
    <w:rPr>
      <w:i/>
      <w:iCs/>
    </w:rPr>
  </w:style>
  <w:style w:type="character" w:customStyle="1" w:styleId="IndirizzoHTMLCarattere">
    <w:name w:val="Indirizzo HTML Carattere"/>
    <w:basedOn w:val="Carpredefinitoparagrafo"/>
    <w:link w:val="IndirizzoHTML"/>
    <w:uiPriority w:val="98"/>
    <w:semiHidden/>
    <w:rsid w:val="001C647C"/>
    <w:rPr>
      <w:i/>
      <w:iCs/>
      <w:sz w:val="24"/>
      <w:szCs w:val="24"/>
      <w:lang w:val="fr-FR"/>
    </w:rPr>
  </w:style>
  <w:style w:type="character" w:styleId="CitazioneHTML">
    <w:name w:val="HTML Cite"/>
    <w:basedOn w:val="Carpredefinitoparagrafo"/>
    <w:uiPriority w:val="98"/>
    <w:semiHidden/>
    <w:rsid w:val="001C647C"/>
    <w:rPr>
      <w:i/>
      <w:iCs/>
    </w:rPr>
  </w:style>
  <w:style w:type="character" w:styleId="CodiceHTML">
    <w:name w:val="HTML Code"/>
    <w:basedOn w:val="Carpredefinitoparagrafo"/>
    <w:uiPriority w:val="98"/>
    <w:semiHidden/>
    <w:rsid w:val="001C647C"/>
    <w:rPr>
      <w:rFonts w:ascii="Consolas" w:hAnsi="Consolas" w:cs="Consolas"/>
      <w:sz w:val="20"/>
      <w:szCs w:val="20"/>
    </w:rPr>
  </w:style>
  <w:style w:type="character" w:styleId="DefinizioneHTML">
    <w:name w:val="HTML Definition"/>
    <w:basedOn w:val="Carpredefinitoparagrafo"/>
    <w:uiPriority w:val="98"/>
    <w:semiHidden/>
    <w:rsid w:val="001C647C"/>
    <w:rPr>
      <w:i/>
      <w:iCs/>
    </w:rPr>
  </w:style>
  <w:style w:type="character" w:styleId="TastieraHTML">
    <w:name w:val="HTML Keyboard"/>
    <w:basedOn w:val="Carpredefinitoparagrafo"/>
    <w:uiPriority w:val="98"/>
    <w:semiHidden/>
    <w:rsid w:val="001C647C"/>
    <w:rPr>
      <w:rFonts w:ascii="Consolas" w:hAnsi="Consolas" w:cs="Consolas"/>
      <w:sz w:val="20"/>
      <w:szCs w:val="20"/>
    </w:rPr>
  </w:style>
  <w:style w:type="paragraph" w:styleId="PreformattatoHTML">
    <w:name w:val="HTML Preformatted"/>
    <w:basedOn w:val="Normale"/>
    <w:link w:val="PreformattatoHTMLCarattere"/>
    <w:uiPriority w:val="98"/>
    <w:semiHidden/>
    <w:rsid w:val="001C647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C647C"/>
    <w:rPr>
      <w:rFonts w:ascii="Consolas" w:hAnsi="Consolas" w:cs="Consolas"/>
      <w:sz w:val="20"/>
      <w:szCs w:val="20"/>
      <w:lang w:val="fr-FR"/>
    </w:rPr>
  </w:style>
  <w:style w:type="character" w:styleId="EsempioHTML">
    <w:name w:val="HTML Sample"/>
    <w:basedOn w:val="Carpredefinitoparagrafo"/>
    <w:uiPriority w:val="98"/>
    <w:semiHidden/>
    <w:rsid w:val="001C647C"/>
    <w:rPr>
      <w:rFonts w:ascii="Consolas" w:hAnsi="Consolas" w:cs="Consolas"/>
      <w:sz w:val="24"/>
      <w:szCs w:val="24"/>
    </w:rPr>
  </w:style>
  <w:style w:type="character" w:styleId="MacchinadascrivereHTML">
    <w:name w:val="HTML Typewriter"/>
    <w:basedOn w:val="Carpredefinitoparagrafo"/>
    <w:uiPriority w:val="98"/>
    <w:semiHidden/>
    <w:rsid w:val="001C647C"/>
    <w:rPr>
      <w:rFonts w:ascii="Consolas" w:hAnsi="Consolas" w:cs="Consolas"/>
      <w:sz w:val="20"/>
      <w:szCs w:val="20"/>
    </w:rPr>
  </w:style>
  <w:style w:type="character" w:styleId="VariabileHTML">
    <w:name w:val="HTML Variable"/>
    <w:basedOn w:val="Carpredefinitoparagrafo"/>
    <w:uiPriority w:val="98"/>
    <w:semiHidden/>
    <w:rsid w:val="001C647C"/>
    <w:rPr>
      <w:i/>
      <w:iCs/>
    </w:rPr>
  </w:style>
  <w:style w:type="paragraph" w:styleId="Indice1">
    <w:name w:val="index 1"/>
    <w:basedOn w:val="Normale"/>
    <w:next w:val="Normale"/>
    <w:autoRedefine/>
    <w:uiPriority w:val="98"/>
    <w:semiHidden/>
    <w:rsid w:val="001C647C"/>
    <w:pPr>
      <w:ind w:left="240" w:hanging="240"/>
    </w:pPr>
  </w:style>
  <w:style w:type="paragraph" w:styleId="Indice2">
    <w:name w:val="index 2"/>
    <w:basedOn w:val="Normale"/>
    <w:next w:val="Normale"/>
    <w:autoRedefine/>
    <w:uiPriority w:val="98"/>
    <w:semiHidden/>
    <w:rsid w:val="001C647C"/>
    <w:pPr>
      <w:ind w:left="480" w:hanging="240"/>
    </w:pPr>
  </w:style>
  <w:style w:type="paragraph" w:styleId="Indice3">
    <w:name w:val="index 3"/>
    <w:basedOn w:val="Normale"/>
    <w:next w:val="Normale"/>
    <w:autoRedefine/>
    <w:uiPriority w:val="98"/>
    <w:semiHidden/>
    <w:rsid w:val="001C647C"/>
    <w:pPr>
      <w:ind w:left="720" w:hanging="240"/>
    </w:pPr>
  </w:style>
  <w:style w:type="paragraph" w:styleId="Indice4">
    <w:name w:val="index 4"/>
    <w:basedOn w:val="Normale"/>
    <w:next w:val="Normale"/>
    <w:autoRedefine/>
    <w:uiPriority w:val="98"/>
    <w:semiHidden/>
    <w:rsid w:val="001C647C"/>
    <w:pPr>
      <w:ind w:left="960" w:hanging="240"/>
    </w:pPr>
  </w:style>
  <w:style w:type="paragraph" w:styleId="Indice5">
    <w:name w:val="index 5"/>
    <w:basedOn w:val="Normale"/>
    <w:next w:val="Normale"/>
    <w:autoRedefine/>
    <w:uiPriority w:val="98"/>
    <w:semiHidden/>
    <w:rsid w:val="001C647C"/>
    <w:pPr>
      <w:ind w:left="1200" w:hanging="240"/>
    </w:pPr>
  </w:style>
  <w:style w:type="paragraph" w:styleId="Indice6">
    <w:name w:val="index 6"/>
    <w:basedOn w:val="Normale"/>
    <w:next w:val="Normale"/>
    <w:autoRedefine/>
    <w:uiPriority w:val="98"/>
    <w:semiHidden/>
    <w:rsid w:val="001C647C"/>
    <w:pPr>
      <w:ind w:left="1440" w:hanging="240"/>
    </w:pPr>
  </w:style>
  <w:style w:type="paragraph" w:styleId="Indice7">
    <w:name w:val="index 7"/>
    <w:basedOn w:val="Normale"/>
    <w:next w:val="Normale"/>
    <w:autoRedefine/>
    <w:uiPriority w:val="98"/>
    <w:semiHidden/>
    <w:rsid w:val="001C647C"/>
    <w:pPr>
      <w:ind w:left="1680" w:hanging="240"/>
    </w:pPr>
  </w:style>
  <w:style w:type="paragraph" w:styleId="Indice8">
    <w:name w:val="index 8"/>
    <w:basedOn w:val="Normale"/>
    <w:next w:val="Normale"/>
    <w:autoRedefine/>
    <w:uiPriority w:val="98"/>
    <w:semiHidden/>
    <w:rsid w:val="001C647C"/>
    <w:pPr>
      <w:ind w:left="1920" w:hanging="240"/>
    </w:pPr>
  </w:style>
  <w:style w:type="paragraph" w:styleId="Indice9">
    <w:name w:val="index 9"/>
    <w:basedOn w:val="Normale"/>
    <w:next w:val="Normale"/>
    <w:autoRedefine/>
    <w:uiPriority w:val="98"/>
    <w:semiHidden/>
    <w:rsid w:val="001C647C"/>
    <w:pPr>
      <w:ind w:left="2160" w:hanging="240"/>
    </w:pPr>
  </w:style>
  <w:style w:type="paragraph" w:styleId="Titoloindice">
    <w:name w:val="index heading"/>
    <w:basedOn w:val="Normale"/>
    <w:next w:val="Indice1"/>
    <w:uiPriority w:val="98"/>
    <w:semiHidden/>
    <w:rsid w:val="001C647C"/>
    <w:rPr>
      <w:rFonts w:asciiTheme="majorHAnsi" w:eastAsiaTheme="majorEastAsia" w:hAnsiTheme="majorHAnsi" w:cstheme="majorBidi"/>
      <w:b/>
      <w:bCs/>
    </w:rPr>
  </w:style>
  <w:style w:type="table" w:styleId="Grigliachiara">
    <w:name w:val="Light Grid"/>
    <w:basedOn w:val="Tabellanormale"/>
    <w:uiPriority w:val="62"/>
    <w:semiHidden/>
    <w:rsid w:val="001C647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C647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C647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C647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C647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C647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C647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C647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C647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C647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C647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C647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C647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C647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C647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C647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C647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C647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C647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C647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C647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C647C"/>
  </w:style>
  <w:style w:type="paragraph" w:styleId="Elenco">
    <w:name w:val="List"/>
    <w:basedOn w:val="Normale"/>
    <w:uiPriority w:val="98"/>
    <w:semiHidden/>
    <w:rsid w:val="001C647C"/>
    <w:pPr>
      <w:ind w:left="283" w:hanging="283"/>
      <w:contextualSpacing/>
    </w:pPr>
  </w:style>
  <w:style w:type="paragraph" w:styleId="Elenco2">
    <w:name w:val="List 2"/>
    <w:basedOn w:val="Normale"/>
    <w:uiPriority w:val="98"/>
    <w:semiHidden/>
    <w:rsid w:val="001C647C"/>
    <w:pPr>
      <w:ind w:left="566" w:hanging="283"/>
      <w:contextualSpacing/>
    </w:pPr>
  </w:style>
  <w:style w:type="paragraph" w:styleId="Elenco3">
    <w:name w:val="List 3"/>
    <w:basedOn w:val="Normale"/>
    <w:uiPriority w:val="98"/>
    <w:semiHidden/>
    <w:rsid w:val="001C647C"/>
    <w:pPr>
      <w:ind w:left="849" w:hanging="283"/>
      <w:contextualSpacing/>
    </w:pPr>
  </w:style>
  <w:style w:type="paragraph" w:styleId="Elenco4">
    <w:name w:val="List 4"/>
    <w:basedOn w:val="Normale"/>
    <w:uiPriority w:val="98"/>
    <w:semiHidden/>
    <w:rsid w:val="001C647C"/>
    <w:pPr>
      <w:ind w:left="1132" w:hanging="283"/>
      <w:contextualSpacing/>
    </w:pPr>
  </w:style>
  <w:style w:type="paragraph" w:styleId="Elenco5">
    <w:name w:val="List 5"/>
    <w:basedOn w:val="Normale"/>
    <w:uiPriority w:val="98"/>
    <w:semiHidden/>
    <w:rsid w:val="001C647C"/>
    <w:pPr>
      <w:ind w:left="1415" w:hanging="283"/>
      <w:contextualSpacing/>
    </w:pPr>
  </w:style>
  <w:style w:type="paragraph" w:styleId="Puntoelenco">
    <w:name w:val="List Bullet"/>
    <w:basedOn w:val="Normale"/>
    <w:uiPriority w:val="98"/>
    <w:semiHidden/>
    <w:rsid w:val="001C647C"/>
    <w:pPr>
      <w:numPr>
        <w:numId w:val="10"/>
      </w:numPr>
    </w:pPr>
  </w:style>
  <w:style w:type="paragraph" w:styleId="Puntoelenco3">
    <w:name w:val="List Bullet 3"/>
    <w:basedOn w:val="Normale"/>
    <w:uiPriority w:val="98"/>
    <w:semiHidden/>
    <w:rsid w:val="001C647C"/>
    <w:pPr>
      <w:numPr>
        <w:numId w:val="12"/>
      </w:numPr>
      <w:contextualSpacing/>
    </w:pPr>
  </w:style>
  <w:style w:type="paragraph" w:styleId="Puntoelenco4">
    <w:name w:val="List Bullet 4"/>
    <w:basedOn w:val="Normale"/>
    <w:uiPriority w:val="98"/>
    <w:semiHidden/>
    <w:rsid w:val="001C647C"/>
    <w:pPr>
      <w:numPr>
        <w:numId w:val="13"/>
      </w:numPr>
      <w:contextualSpacing/>
    </w:pPr>
  </w:style>
  <w:style w:type="paragraph" w:styleId="Puntoelenco5">
    <w:name w:val="List Bullet 5"/>
    <w:basedOn w:val="Normale"/>
    <w:uiPriority w:val="98"/>
    <w:semiHidden/>
    <w:rsid w:val="001C647C"/>
    <w:pPr>
      <w:numPr>
        <w:numId w:val="14"/>
      </w:numPr>
      <w:contextualSpacing/>
    </w:pPr>
  </w:style>
  <w:style w:type="paragraph" w:styleId="Elencocontinua">
    <w:name w:val="List Continue"/>
    <w:basedOn w:val="Normale"/>
    <w:uiPriority w:val="98"/>
    <w:semiHidden/>
    <w:rsid w:val="001C647C"/>
    <w:pPr>
      <w:spacing w:after="120"/>
      <w:ind w:left="283"/>
      <w:contextualSpacing/>
    </w:pPr>
  </w:style>
  <w:style w:type="paragraph" w:styleId="Elencocontinua2">
    <w:name w:val="List Continue 2"/>
    <w:basedOn w:val="Normale"/>
    <w:uiPriority w:val="98"/>
    <w:semiHidden/>
    <w:rsid w:val="001C647C"/>
    <w:pPr>
      <w:spacing w:after="120"/>
      <w:ind w:left="566"/>
      <w:contextualSpacing/>
    </w:pPr>
  </w:style>
  <w:style w:type="paragraph" w:styleId="Elencocontinua3">
    <w:name w:val="List Continue 3"/>
    <w:basedOn w:val="Normale"/>
    <w:uiPriority w:val="98"/>
    <w:semiHidden/>
    <w:rsid w:val="001C647C"/>
    <w:pPr>
      <w:spacing w:after="120"/>
      <w:ind w:left="849"/>
      <w:contextualSpacing/>
    </w:pPr>
  </w:style>
  <w:style w:type="paragraph" w:styleId="Elencocontinua4">
    <w:name w:val="List Continue 4"/>
    <w:basedOn w:val="Normale"/>
    <w:uiPriority w:val="98"/>
    <w:semiHidden/>
    <w:rsid w:val="001C647C"/>
    <w:pPr>
      <w:spacing w:after="120"/>
      <w:ind w:left="1132"/>
      <w:contextualSpacing/>
    </w:pPr>
  </w:style>
  <w:style w:type="paragraph" w:styleId="Elencocontinua5">
    <w:name w:val="List Continue 5"/>
    <w:basedOn w:val="Normale"/>
    <w:uiPriority w:val="98"/>
    <w:semiHidden/>
    <w:rsid w:val="001C647C"/>
    <w:pPr>
      <w:spacing w:after="120"/>
      <w:ind w:left="1415"/>
      <w:contextualSpacing/>
    </w:pPr>
  </w:style>
  <w:style w:type="paragraph" w:styleId="Numeroelenco">
    <w:name w:val="List Number"/>
    <w:basedOn w:val="Normale"/>
    <w:uiPriority w:val="98"/>
    <w:semiHidden/>
    <w:rsid w:val="001C647C"/>
    <w:pPr>
      <w:numPr>
        <w:numId w:val="15"/>
      </w:numPr>
      <w:contextualSpacing/>
    </w:pPr>
  </w:style>
  <w:style w:type="paragraph" w:styleId="Numeroelenco2">
    <w:name w:val="List Number 2"/>
    <w:basedOn w:val="Normale"/>
    <w:uiPriority w:val="98"/>
    <w:semiHidden/>
    <w:rsid w:val="001C647C"/>
    <w:pPr>
      <w:numPr>
        <w:numId w:val="16"/>
      </w:numPr>
      <w:contextualSpacing/>
    </w:pPr>
  </w:style>
  <w:style w:type="paragraph" w:styleId="Numeroelenco3">
    <w:name w:val="List Number 3"/>
    <w:basedOn w:val="Normale"/>
    <w:uiPriority w:val="98"/>
    <w:semiHidden/>
    <w:rsid w:val="001C647C"/>
    <w:pPr>
      <w:numPr>
        <w:numId w:val="17"/>
      </w:numPr>
      <w:contextualSpacing/>
    </w:pPr>
  </w:style>
  <w:style w:type="paragraph" w:styleId="Numeroelenco4">
    <w:name w:val="List Number 4"/>
    <w:basedOn w:val="Normale"/>
    <w:uiPriority w:val="98"/>
    <w:semiHidden/>
    <w:rsid w:val="001C647C"/>
    <w:pPr>
      <w:numPr>
        <w:numId w:val="18"/>
      </w:numPr>
      <w:contextualSpacing/>
    </w:pPr>
  </w:style>
  <w:style w:type="paragraph" w:styleId="Numeroelenco5">
    <w:name w:val="List Number 5"/>
    <w:basedOn w:val="Normale"/>
    <w:uiPriority w:val="98"/>
    <w:semiHidden/>
    <w:rsid w:val="001C647C"/>
    <w:pPr>
      <w:numPr>
        <w:numId w:val="19"/>
      </w:numPr>
      <w:contextualSpacing/>
    </w:pPr>
  </w:style>
  <w:style w:type="paragraph" w:styleId="Testomacro">
    <w:name w:val="macro"/>
    <w:link w:val="TestomacroCarattere"/>
    <w:uiPriority w:val="98"/>
    <w:semiHidden/>
    <w:rsid w:val="001C64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C647C"/>
    <w:rPr>
      <w:rFonts w:ascii="Consolas" w:eastAsiaTheme="minorEastAsia" w:hAnsi="Consolas" w:cs="Consolas"/>
      <w:sz w:val="20"/>
      <w:szCs w:val="20"/>
    </w:rPr>
  </w:style>
  <w:style w:type="table" w:styleId="Grigliamedia1">
    <w:name w:val="Medium Grid 1"/>
    <w:basedOn w:val="Tabellanormale"/>
    <w:uiPriority w:val="67"/>
    <w:semiHidden/>
    <w:rsid w:val="001C647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C647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C647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C647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C647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C647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C647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C647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C647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C647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C647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C647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C647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C647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C647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C647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C647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C647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C647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C647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C647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C647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C647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C647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C64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C647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1C647C"/>
    <w:rPr>
      <w:rFonts w:ascii="Times New Roman" w:hAnsi="Times New Roman" w:cs="Times New Roman"/>
    </w:rPr>
  </w:style>
  <w:style w:type="paragraph" w:styleId="Rientronormale">
    <w:name w:val="Normal Indent"/>
    <w:basedOn w:val="Normale"/>
    <w:uiPriority w:val="98"/>
    <w:semiHidden/>
    <w:rsid w:val="001C647C"/>
    <w:pPr>
      <w:ind w:left="720"/>
    </w:pPr>
  </w:style>
  <w:style w:type="paragraph" w:styleId="Intestazionenota">
    <w:name w:val="Note Heading"/>
    <w:basedOn w:val="Normale"/>
    <w:next w:val="Normale"/>
    <w:link w:val="IntestazionenotaCarattere"/>
    <w:uiPriority w:val="98"/>
    <w:semiHidden/>
    <w:rsid w:val="001C647C"/>
  </w:style>
  <w:style w:type="character" w:customStyle="1" w:styleId="IntestazionenotaCarattere">
    <w:name w:val="Intestazione nota Carattere"/>
    <w:basedOn w:val="Carpredefinitoparagrafo"/>
    <w:link w:val="Intestazionenota"/>
    <w:uiPriority w:val="98"/>
    <w:semiHidden/>
    <w:rsid w:val="001C647C"/>
    <w:rPr>
      <w:sz w:val="24"/>
      <w:szCs w:val="24"/>
      <w:lang w:val="fr-FR"/>
    </w:rPr>
  </w:style>
  <w:style w:type="character" w:styleId="Testosegnaposto">
    <w:name w:val="Placeholder Text"/>
    <w:basedOn w:val="Carpredefinitoparagrafo"/>
    <w:uiPriority w:val="98"/>
    <w:semiHidden/>
    <w:rsid w:val="001C647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C647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C647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1C647C"/>
  </w:style>
  <w:style w:type="character" w:customStyle="1" w:styleId="FormuladiaperturaCarattere">
    <w:name w:val="Formula di apertura Carattere"/>
    <w:basedOn w:val="Carpredefinitoparagrafo"/>
    <w:link w:val="Formuladiapertura"/>
    <w:uiPriority w:val="98"/>
    <w:semiHidden/>
    <w:rsid w:val="001C647C"/>
    <w:rPr>
      <w:sz w:val="24"/>
      <w:szCs w:val="24"/>
      <w:lang w:val="fr-FR"/>
    </w:rPr>
  </w:style>
  <w:style w:type="paragraph" w:styleId="Firma">
    <w:name w:val="Signature"/>
    <w:basedOn w:val="Normale"/>
    <w:link w:val="FirmaCarattere"/>
    <w:uiPriority w:val="98"/>
    <w:semiHidden/>
    <w:rsid w:val="001C647C"/>
    <w:pPr>
      <w:ind w:left="4252"/>
    </w:pPr>
  </w:style>
  <w:style w:type="character" w:customStyle="1" w:styleId="FirmaCarattere">
    <w:name w:val="Firma Carattere"/>
    <w:basedOn w:val="Carpredefinitoparagrafo"/>
    <w:link w:val="Firma"/>
    <w:uiPriority w:val="98"/>
    <w:semiHidden/>
    <w:rsid w:val="001C647C"/>
    <w:rPr>
      <w:sz w:val="24"/>
      <w:szCs w:val="24"/>
      <w:lang w:val="fr-FR"/>
    </w:rPr>
  </w:style>
  <w:style w:type="table" w:styleId="Tabellaeffetti3D1">
    <w:name w:val="Table 3D effects 1"/>
    <w:basedOn w:val="Tabellanormale"/>
    <w:uiPriority w:val="99"/>
    <w:semiHidden/>
    <w:unhideWhenUsed/>
    <w:rsid w:val="001C647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C647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C647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C647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C647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C647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C647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C647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C647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C647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C647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C647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C647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C647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C647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C647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C647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1C64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C647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C647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C647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C647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C647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C647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C647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C647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C647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C647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C647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C64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C647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C647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C647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C647C"/>
    <w:pPr>
      <w:ind w:left="240" w:hanging="240"/>
    </w:pPr>
  </w:style>
  <w:style w:type="paragraph" w:styleId="Indicedellefigure">
    <w:name w:val="table of figures"/>
    <w:basedOn w:val="Normale"/>
    <w:next w:val="Normale"/>
    <w:uiPriority w:val="98"/>
    <w:semiHidden/>
    <w:rsid w:val="001C647C"/>
  </w:style>
  <w:style w:type="table" w:styleId="Tabellaprofessionale">
    <w:name w:val="Table Professional"/>
    <w:basedOn w:val="Tabellanormale"/>
    <w:uiPriority w:val="99"/>
    <w:semiHidden/>
    <w:unhideWhenUsed/>
    <w:rsid w:val="001C647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C647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C647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C647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C647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C647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C647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C647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C647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C647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1C647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C647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C647C"/>
    <w:pPr>
      <w:spacing w:after="100"/>
      <w:ind w:left="1680"/>
    </w:pPr>
  </w:style>
  <w:style w:type="paragraph" w:styleId="Sommario9">
    <w:name w:val="toc 9"/>
    <w:basedOn w:val="Normale"/>
    <w:next w:val="Normale"/>
    <w:autoRedefine/>
    <w:uiPriority w:val="98"/>
    <w:semiHidden/>
    <w:rsid w:val="001C647C"/>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1C647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C647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C647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C647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C647C"/>
    <w:pPr>
      <w:numPr>
        <w:numId w:val="7"/>
      </w:numPr>
      <w:spacing w:before="60" w:after="60"/>
    </w:pPr>
  </w:style>
  <w:style w:type="paragraph" w:customStyle="1" w:styleId="ECHRBullet2">
    <w:name w:val="ECHR_Bullet_2"/>
    <w:aliases w:val="_Bul_2"/>
    <w:basedOn w:val="ECHRBullet1"/>
    <w:uiPriority w:val="23"/>
    <w:semiHidden/>
    <w:rsid w:val="001C647C"/>
    <w:pPr>
      <w:numPr>
        <w:ilvl w:val="1"/>
      </w:numPr>
    </w:pPr>
  </w:style>
  <w:style w:type="paragraph" w:customStyle="1" w:styleId="ECHRBullet3">
    <w:name w:val="ECHR_Bullet_3"/>
    <w:aliases w:val="_Bul_3"/>
    <w:basedOn w:val="ECHRBullet2"/>
    <w:uiPriority w:val="23"/>
    <w:semiHidden/>
    <w:rsid w:val="001C647C"/>
    <w:pPr>
      <w:numPr>
        <w:ilvl w:val="2"/>
      </w:numPr>
    </w:pPr>
  </w:style>
  <w:style w:type="paragraph" w:customStyle="1" w:styleId="ECHRBullet4">
    <w:name w:val="ECHR_Bullet_4"/>
    <w:aliases w:val="_Bul_4"/>
    <w:basedOn w:val="ECHRBullet3"/>
    <w:uiPriority w:val="23"/>
    <w:semiHidden/>
    <w:rsid w:val="001C647C"/>
    <w:pPr>
      <w:numPr>
        <w:ilvl w:val="3"/>
      </w:numPr>
    </w:pPr>
  </w:style>
  <w:style w:type="paragraph" w:customStyle="1" w:styleId="ECHRConfidential">
    <w:name w:val="ECHR_Confidential"/>
    <w:aliases w:val="_Confidential"/>
    <w:basedOn w:val="Normale"/>
    <w:next w:val="Normale"/>
    <w:uiPriority w:val="42"/>
    <w:semiHidden/>
    <w:qFormat/>
    <w:rsid w:val="001C647C"/>
    <w:pPr>
      <w:jc w:val="right"/>
    </w:pPr>
    <w:rPr>
      <w:color w:val="C00000"/>
      <w:sz w:val="20"/>
    </w:rPr>
  </w:style>
  <w:style w:type="paragraph" w:customStyle="1" w:styleId="ECHRDecisionBody">
    <w:name w:val="ECHR_Decision_Body"/>
    <w:aliases w:val="_Decision_Body"/>
    <w:basedOn w:val="NormalJustified"/>
    <w:uiPriority w:val="54"/>
    <w:semiHidden/>
    <w:rsid w:val="001C647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C647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C647C"/>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1C647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C647C"/>
    <w:pPr>
      <w:jc w:val="right"/>
    </w:pPr>
    <w:rPr>
      <w:sz w:val="20"/>
    </w:rPr>
  </w:style>
  <w:style w:type="paragraph" w:customStyle="1" w:styleId="ECHRHeaderRefIt">
    <w:name w:val="ECHR_Header_Ref_It"/>
    <w:aliases w:val="_Ref_Ital"/>
    <w:basedOn w:val="Normale"/>
    <w:next w:val="ECHRHeaderDate"/>
    <w:uiPriority w:val="43"/>
    <w:semiHidden/>
    <w:qFormat/>
    <w:rsid w:val="001C647C"/>
    <w:pPr>
      <w:jc w:val="right"/>
    </w:pPr>
    <w:rPr>
      <w:i/>
      <w:sz w:val="20"/>
    </w:rPr>
  </w:style>
  <w:style w:type="paragraph" w:customStyle="1" w:styleId="ECHRHeading9">
    <w:name w:val="ECHR_Heading_9"/>
    <w:aliases w:val="_Head_9"/>
    <w:basedOn w:val="Titolo9"/>
    <w:uiPriority w:val="17"/>
    <w:semiHidden/>
    <w:rsid w:val="001C647C"/>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C647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1C647C"/>
    <w:pPr>
      <w:numPr>
        <w:numId w:val="9"/>
      </w:numPr>
      <w:spacing w:before="60" w:after="60"/>
    </w:pPr>
  </w:style>
  <w:style w:type="paragraph" w:customStyle="1" w:styleId="ECHRNumberedList2">
    <w:name w:val="ECHR_Numbered_List_2"/>
    <w:aliases w:val="_Num_2"/>
    <w:basedOn w:val="ECHRNumberedList1"/>
    <w:uiPriority w:val="23"/>
    <w:semiHidden/>
    <w:rsid w:val="001C647C"/>
    <w:pPr>
      <w:numPr>
        <w:ilvl w:val="1"/>
      </w:numPr>
    </w:pPr>
  </w:style>
  <w:style w:type="paragraph" w:customStyle="1" w:styleId="ECHRNumberedList3">
    <w:name w:val="ECHR_Numbered_List_3"/>
    <w:aliases w:val="_Num_3"/>
    <w:basedOn w:val="ECHRNumberedList2"/>
    <w:uiPriority w:val="23"/>
    <w:semiHidden/>
    <w:rsid w:val="001C647C"/>
    <w:pPr>
      <w:numPr>
        <w:ilvl w:val="2"/>
      </w:numPr>
    </w:pPr>
  </w:style>
  <w:style w:type="paragraph" w:customStyle="1" w:styleId="ECHRParaHanging">
    <w:name w:val="ECHR_Para_Hanging"/>
    <w:aliases w:val="_Hanging"/>
    <w:basedOn w:val="Normale"/>
    <w:uiPriority w:val="8"/>
    <w:semiHidden/>
    <w:qFormat/>
    <w:rsid w:val="001C647C"/>
    <w:pPr>
      <w:ind w:left="567" w:hanging="567"/>
      <w:jc w:val="both"/>
    </w:pPr>
  </w:style>
  <w:style w:type="paragraph" w:customStyle="1" w:styleId="ECHRParaIndent">
    <w:name w:val="ECHR_Para_Indent"/>
    <w:aliases w:val="_Indent"/>
    <w:basedOn w:val="Normale"/>
    <w:uiPriority w:val="7"/>
    <w:semiHidden/>
    <w:qFormat/>
    <w:rsid w:val="001C647C"/>
    <w:pPr>
      <w:spacing w:before="120" w:after="120"/>
      <w:ind w:left="567"/>
      <w:jc w:val="both"/>
    </w:pPr>
  </w:style>
  <w:style w:type="character" w:customStyle="1" w:styleId="ECHRRed">
    <w:name w:val="ECHR_Red"/>
    <w:aliases w:val="_Red"/>
    <w:basedOn w:val="Carpredefinitoparagrafo"/>
    <w:uiPriority w:val="15"/>
    <w:semiHidden/>
    <w:qFormat/>
    <w:rsid w:val="001C647C"/>
    <w:rPr>
      <w:color w:val="C00000" w:themeColor="accent2"/>
    </w:rPr>
  </w:style>
  <w:style w:type="paragraph" w:customStyle="1" w:styleId="DecList">
    <w:name w:val="Dec_List"/>
    <w:aliases w:val="_List"/>
    <w:basedOn w:val="JuList"/>
    <w:uiPriority w:val="22"/>
    <w:rsid w:val="001C647C"/>
    <w:pPr>
      <w:numPr>
        <w:numId w:val="0"/>
      </w:numPr>
      <w:ind w:left="284"/>
    </w:pPr>
  </w:style>
  <w:style w:type="table" w:customStyle="1" w:styleId="ECHRTable2">
    <w:name w:val="ECHR_Table_2"/>
    <w:basedOn w:val="Tabellanormale"/>
    <w:uiPriority w:val="99"/>
    <w:rsid w:val="001C647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C647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C647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C647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C647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C647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C647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C647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C647C"/>
    <w:pPr>
      <w:outlineLvl w:val="0"/>
    </w:pPr>
  </w:style>
  <w:style w:type="paragraph" w:customStyle="1" w:styleId="ECHRTitleTOC1">
    <w:name w:val="ECHR_Title_TOC_1"/>
    <w:aliases w:val="_Title_L_TOC"/>
    <w:basedOn w:val="ECHRTitle1"/>
    <w:next w:val="Normale"/>
    <w:uiPriority w:val="27"/>
    <w:semiHidden/>
    <w:qFormat/>
    <w:rsid w:val="001C647C"/>
    <w:pPr>
      <w:outlineLvl w:val="0"/>
    </w:pPr>
  </w:style>
  <w:style w:type="paragraph" w:customStyle="1" w:styleId="ECHRPlaceholder">
    <w:name w:val="ECHR_Placeholder"/>
    <w:aliases w:val="_Placeholder"/>
    <w:basedOn w:val="JuSigned"/>
    <w:uiPriority w:val="31"/>
    <w:rsid w:val="001C647C"/>
    <w:rPr>
      <w:color w:val="FFFFFF"/>
    </w:rPr>
  </w:style>
  <w:style w:type="paragraph" w:customStyle="1" w:styleId="ECHRSpacer">
    <w:name w:val="ECHR_Spacer"/>
    <w:aliases w:val="_Spacer"/>
    <w:basedOn w:val="Normale"/>
    <w:uiPriority w:val="45"/>
    <w:semiHidden/>
    <w:rsid w:val="001C647C"/>
    <w:rPr>
      <w:sz w:val="4"/>
    </w:rPr>
  </w:style>
  <w:style w:type="table" w:customStyle="1" w:styleId="ECHRTableGrey">
    <w:name w:val="ECHR_Table_Grey"/>
    <w:basedOn w:val="Tabellanormale"/>
    <w:uiPriority w:val="99"/>
    <w:rsid w:val="001C647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C72F5D"/>
    <w:rPr>
      <w:sz w:val="24"/>
      <w:szCs w:val="24"/>
      <w:lang w:val="fr-FR"/>
    </w:rPr>
  </w:style>
  <w:style w:type="table" w:styleId="Tabellagriglia1chiara">
    <w:name w:val="Grid Table 1 Light"/>
    <w:basedOn w:val="Tabellanormale"/>
    <w:uiPriority w:val="46"/>
    <w:semiHidden/>
    <w:rsid w:val="001C64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C647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1C647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C647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1C647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C647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C647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C64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1C647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C647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C647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C647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C647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C647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C64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C64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C64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C64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C64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C64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C64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C64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C64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C64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C64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C64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C64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C64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C64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C64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C64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C64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C64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C64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C64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C64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C64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C64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C64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C64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C64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C64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C64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C647C"/>
    <w:rPr>
      <w:color w:val="2B579A"/>
      <w:shd w:val="clear" w:color="auto" w:fill="E1DFDD"/>
    </w:rPr>
  </w:style>
  <w:style w:type="table" w:styleId="Tabellaelenco1chiara">
    <w:name w:val="List Table 1 Light"/>
    <w:basedOn w:val="Tabellanormale"/>
    <w:uiPriority w:val="46"/>
    <w:semiHidden/>
    <w:rsid w:val="001C64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C647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C647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C647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C647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C647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C647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C64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C647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C647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C647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C647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C647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C647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C64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C647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C647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C647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C647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C647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C647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C64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C64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C64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C64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C64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C64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C64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C647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C647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C647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C647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C647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C647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C647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C64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C647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C647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C647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C647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C647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C647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C64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C647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C647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C647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C647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C647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C647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C647C"/>
    <w:rPr>
      <w:color w:val="2B579A"/>
      <w:shd w:val="clear" w:color="auto" w:fill="E1DFDD"/>
    </w:rPr>
  </w:style>
  <w:style w:type="table" w:styleId="Tabellasemplice-1">
    <w:name w:val="Plain Table 1"/>
    <w:basedOn w:val="Tabellanormale"/>
    <w:uiPriority w:val="41"/>
    <w:semiHidden/>
    <w:rsid w:val="001C647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C64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C64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C64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C64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C647C"/>
    <w:rPr>
      <w:u w:val="dotted"/>
    </w:rPr>
  </w:style>
  <w:style w:type="character" w:customStyle="1" w:styleId="SmartLink">
    <w:name w:val="Smart Link"/>
    <w:basedOn w:val="Carpredefinitoparagrafo"/>
    <w:uiPriority w:val="99"/>
    <w:semiHidden/>
    <w:unhideWhenUsed/>
    <w:rsid w:val="001C647C"/>
    <w:rPr>
      <w:color w:val="0000FF"/>
      <w:u w:val="single"/>
      <w:shd w:val="clear" w:color="auto" w:fill="F3F2F1"/>
    </w:rPr>
  </w:style>
  <w:style w:type="table" w:styleId="Grigliatabellachiara">
    <w:name w:val="Grid Table Light"/>
    <w:basedOn w:val="Tabellanormale"/>
    <w:uiPriority w:val="40"/>
    <w:semiHidden/>
    <w:rsid w:val="001C647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1C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79B4-3AAC-44A9-8652-32F6F7BB50ED}">
  <ds:schemaRefs>
    <ds:schemaRef ds:uri="http://schemas.microsoft.com/sharepoint/v3/contenttype/forms"/>
  </ds:schemaRefs>
</ds:datastoreItem>
</file>

<file path=customXml/itemProps2.xml><?xml version="1.0" encoding="utf-8"?>
<ds:datastoreItem xmlns:ds="http://schemas.openxmlformats.org/officeDocument/2006/customXml" ds:itemID="{35A0F426-0B9B-4DD1-9A67-007B2A6CB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B3FA12-A173-4B90-A6B2-54D6EDD2B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83182-A03C-44F5-837D-C1353D79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10035</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2021-09-24T08:24:00Z</dcterms:created>
  <dcterms:modified xsi:type="dcterms:W3CDTF">2021-09-24T08:24:00Z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53729/15</vt:lpwstr>
  </property>
  <property fmtid="{D5CDD505-2E9C-101B-9397-08002B2CF9AE}" pid="4" name="CASEID">
    <vt:lpwstr>1164087</vt:lpwstr>
  </property>
  <property fmtid="{D5CDD505-2E9C-101B-9397-08002B2CF9AE}" pid="5" name="ContentTypeId">
    <vt:lpwstr>0x010100558EB02BDB9E204AB350EDD385B68E10</vt:lpwstr>
  </property>
</Properties>
</file>